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81" w:type="dxa"/>
        <w:tblInd w:w="-72" w:type="dxa"/>
        <w:tblLayout w:type="fixed"/>
        <w:tblCellMar>
          <w:left w:w="70" w:type="dxa"/>
          <w:right w:w="70" w:type="dxa"/>
        </w:tblCellMar>
        <w:tblLook w:val="0000" w:firstRow="0" w:lastRow="0" w:firstColumn="0" w:lastColumn="0" w:noHBand="0" w:noVBand="0"/>
      </w:tblPr>
      <w:tblGrid>
        <w:gridCol w:w="1819"/>
        <w:gridCol w:w="3001"/>
        <w:gridCol w:w="4961"/>
      </w:tblGrid>
      <w:tr w:rsidR="00265F50" w:rsidRPr="001D5DF4" w:rsidTr="000E3E4D">
        <w:trPr>
          <w:cantSplit/>
          <w:trHeight w:val="1560"/>
        </w:trPr>
        <w:tc>
          <w:tcPr>
            <w:tcW w:w="4820" w:type="dxa"/>
            <w:gridSpan w:val="2"/>
            <w:tcBorders>
              <w:top w:val="nil"/>
              <w:left w:val="nil"/>
              <w:bottom w:val="nil"/>
              <w:right w:val="nil"/>
            </w:tcBorders>
            <w:vAlign w:val="center"/>
          </w:tcPr>
          <w:p w:rsidR="00265F50" w:rsidRPr="00326E9B" w:rsidRDefault="00265F50" w:rsidP="00E2117A">
            <w:pPr>
              <w:pStyle w:val="ECCLetterHead"/>
              <w:rPr>
                <w:rFonts w:cs="Arial"/>
                <w:sz w:val="20"/>
              </w:rPr>
            </w:pPr>
            <w:r w:rsidRPr="006D6A5E">
              <w:rPr>
                <w:rFonts w:cs="Arial"/>
                <w:noProof/>
                <w:sz w:val="20"/>
                <w:lang w:val="en-US"/>
              </w:rPr>
              <w:drawing>
                <wp:inline distT="0" distB="0" distL="0" distR="0" wp14:anchorId="030C18E6" wp14:editId="0223D0AD">
                  <wp:extent cx="1617980" cy="8280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7980" cy="828040"/>
                          </a:xfrm>
                          <a:prstGeom prst="rect">
                            <a:avLst/>
                          </a:prstGeom>
                          <a:noFill/>
                          <a:ln>
                            <a:noFill/>
                          </a:ln>
                        </pic:spPr>
                      </pic:pic>
                    </a:graphicData>
                  </a:graphic>
                </wp:inline>
              </w:drawing>
            </w:r>
            <w:r w:rsidR="00AD532F" w:rsidRPr="00BC3779">
              <w:rPr>
                <w:rFonts w:cs="Arial"/>
                <w:sz w:val="20"/>
              </w:rPr>
              <w:t>WG FM</w:t>
            </w:r>
          </w:p>
        </w:tc>
        <w:tc>
          <w:tcPr>
            <w:tcW w:w="4961" w:type="dxa"/>
            <w:tcBorders>
              <w:top w:val="nil"/>
              <w:left w:val="nil"/>
              <w:bottom w:val="nil"/>
              <w:right w:val="nil"/>
            </w:tcBorders>
          </w:tcPr>
          <w:p w:rsidR="00265F50" w:rsidRPr="00EB137E" w:rsidRDefault="00265F50" w:rsidP="00D44EF7">
            <w:pPr>
              <w:pStyle w:val="ECCLetterHead"/>
              <w:rPr>
                <w:lang w:val="da-DK"/>
              </w:rPr>
            </w:pPr>
            <w:r w:rsidRPr="00EB137E">
              <w:rPr>
                <w:rFonts w:cs="Arial"/>
                <w:sz w:val="20"/>
                <w:lang w:val="da-DK"/>
              </w:rPr>
              <w:tab/>
            </w:r>
            <w:r w:rsidR="00AD532F" w:rsidRPr="00EB137E">
              <w:rPr>
                <w:lang w:val="da-DK"/>
              </w:rPr>
              <w:t>Doc. FM(18)</w:t>
            </w:r>
            <w:r w:rsidR="00CD16F8" w:rsidRPr="00EB137E">
              <w:rPr>
                <w:lang w:val="da-DK"/>
              </w:rPr>
              <w:t>078</w:t>
            </w:r>
            <w:r w:rsidR="00CA12C8" w:rsidRPr="00EB137E">
              <w:rPr>
                <w:lang w:val="da-DK"/>
              </w:rPr>
              <w:t>R</w:t>
            </w:r>
            <w:r w:rsidR="00A4751E">
              <w:rPr>
                <w:lang w:val="da-DK"/>
              </w:rPr>
              <w:t>2</w:t>
            </w:r>
          </w:p>
          <w:p w:rsidR="00CA7E5D" w:rsidRPr="00EB137E" w:rsidRDefault="00C856C5" w:rsidP="00A4751E">
            <w:pPr>
              <w:pStyle w:val="ECCLetterHead"/>
              <w:jc w:val="right"/>
              <w:rPr>
                <w:rFonts w:cs="Arial"/>
                <w:b w:val="0"/>
                <w:sz w:val="20"/>
                <w:lang w:val="da-DK"/>
              </w:rPr>
            </w:pPr>
            <w:r w:rsidRPr="00EB137E">
              <w:rPr>
                <w:b w:val="0"/>
                <w:sz w:val="20"/>
                <w:lang w:val="da-DK"/>
              </w:rPr>
              <w:t>(</w:t>
            </w:r>
            <w:r w:rsidR="00CA7E5D" w:rsidRPr="00EB137E">
              <w:rPr>
                <w:b w:val="0"/>
                <w:sz w:val="20"/>
                <w:lang w:val="da-DK"/>
              </w:rPr>
              <w:t>FM57(18)</w:t>
            </w:r>
            <w:r w:rsidR="008E3D6B" w:rsidRPr="00EB137E">
              <w:rPr>
                <w:b w:val="0"/>
                <w:sz w:val="20"/>
                <w:lang w:val="da-DK"/>
              </w:rPr>
              <w:t>003</w:t>
            </w:r>
            <w:r w:rsidR="006154B7" w:rsidRPr="00EB137E">
              <w:rPr>
                <w:b w:val="0"/>
                <w:sz w:val="20"/>
                <w:lang w:val="da-DK"/>
              </w:rPr>
              <w:t>R</w:t>
            </w:r>
            <w:r w:rsidR="00A4751E">
              <w:rPr>
                <w:b w:val="0"/>
                <w:sz w:val="20"/>
                <w:lang w:val="da-DK"/>
              </w:rPr>
              <w:t>2</w:t>
            </w:r>
            <w:r w:rsidR="008E3D6B" w:rsidRPr="00EB137E">
              <w:rPr>
                <w:b w:val="0"/>
                <w:sz w:val="20"/>
                <w:lang w:val="da-DK"/>
              </w:rPr>
              <w:t xml:space="preserve"> </w:t>
            </w:r>
            <w:r w:rsidR="0015283A" w:rsidRPr="00EB137E">
              <w:rPr>
                <w:b w:val="0"/>
                <w:sz w:val="20"/>
                <w:lang w:val="da-DK"/>
              </w:rPr>
              <w:t>– SE45(18)</w:t>
            </w:r>
            <w:r w:rsidR="008E3D6B" w:rsidRPr="00EB137E">
              <w:rPr>
                <w:b w:val="0"/>
                <w:sz w:val="20"/>
                <w:lang w:val="da-DK"/>
              </w:rPr>
              <w:t>031</w:t>
            </w:r>
            <w:r w:rsidR="006154B7" w:rsidRPr="00EB137E">
              <w:rPr>
                <w:b w:val="0"/>
                <w:sz w:val="20"/>
                <w:lang w:val="da-DK"/>
              </w:rPr>
              <w:t>R</w:t>
            </w:r>
            <w:r w:rsidR="00A4751E">
              <w:rPr>
                <w:b w:val="0"/>
                <w:sz w:val="20"/>
                <w:lang w:val="da-DK"/>
              </w:rPr>
              <w:t>2</w:t>
            </w:r>
            <w:r w:rsidR="008E3D6B" w:rsidRPr="00EB137E">
              <w:rPr>
                <w:b w:val="0"/>
                <w:sz w:val="20"/>
                <w:lang w:val="da-DK"/>
              </w:rPr>
              <w:t xml:space="preserve"> </w:t>
            </w:r>
            <w:r w:rsidR="0015283A" w:rsidRPr="00EB137E">
              <w:rPr>
                <w:b w:val="0"/>
                <w:sz w:val="20"/>
                <w:lang w:val="da-DK"/>
              </w:rPr>
              <w:t>– SE19(18)</w:t>
            </w:r>
            <w:r w:rsidR="008E3D6B" w:rsidRPr="00EB137E">
              <w:rPr>
                <w:b w:val="0"/>
                <w:sz w:val="20"/>
                <w:lang w:val="da-DK"/>
              </w:rPr>
              <w:t>022</w:t>
            </w:r>
            <w:r w:rsidR="006154B7" w:rsidRPr="00EB137E">
              <w:rPr>
                <w:b w:val="0"/>
                <w:sz w:val="20"/>
                <w:lang w:val="da-DK"/>
              </w:rPr>
              <w:t>R</w:t>
            </w:r>
            <w:r w:rsidR="00A4751E">
              <w:rPr>
                <w:b w:val="0"/>
                <w:sz w:val="20"/>
                <w:lang w:val="da-DK"/>
              </w:rPr>
              <w:t>2</w:t>
            </w:r>
            <w:r w:rsidRPr="00EB137E">
              <w:rPr>
                <w:b w:val="0"/>
                <w:sz w:val="20"/>
                <w:lang w:val="da-DK"/>
              </w:rPr>
              <w:t>)</w:t>
            </w:r>
          </w:p>
        </w:tc>
      </w:tr>
      <w:tr w:rsidR="00AD532F" w:rsidRPr="00BC3779" w:rsidTr="00D500AF">
        <w:tblPrEx>
          <w:tblCellMar>
            <w:left w:w="108" w:type="dxa"/>
            <w:right w:w="108" w:type="dxa"/>
          </w:tblCellMar>
        </w:tblPrEx>
        <w:trPr>
          <w:cantSplit/>
          <w:trHeight w:val="405"/>
        </w:trPr>
        <w:tc>
          <w:tcPr>
            <w:tcW w:w="9781" w:type="dxa"/>
            <w:gridSpan w:val="3"/>
            <w:tcBorders>
              <w:top w:val="nil"/>
              <w:left w:val="nil"/>
              <w:bottom w:val="nil"/>
              <w:right w:val="nil"/>
            </w:tcBorders>
            <w:vAlign w:val="center"/>
          </w:tcPr>
          <w:p w:rsidR="00AD532F" w:rsidRPr="00BC3779" w:rsidRDefault="00AD532F" w:rsidP="00A03C9E">
            <w:pPr>
              <w:pStyle w:val="ECCLetterHead"/>
            </w:pPr>
            <w:r w:rsidRPr="00BC3779">
              <w:t>91</w:t>
            </w:r>
            <w:r w:rsidRPr="00BC3779">
              <w:rPr>
                <w:vertAlign w:val="superscript"/>
              </w:rPr>
              <w:t>st</w:t>
            </w:r>
            <w:r w:rsidRPr="00BC3779">
              <w:t xml:space="preserve"> Meeting</w:t>
            </w:r>
          </w:p>
        </w:tc>
      </w:tr>
      <w:tr w:rsidR="00AD532F" w:rsidRPr="00BC3779" w:rsidTr="00D500AF">
        <w:tblPrEx>
          <w:tblCellMar>
            <w:left w:w="108" w:type="dxa"/>
            <w:right w:w="108" w:type="dxa"/>
          </w:tblCellMar>
        </w:tblPrEx>
        <w:trPr>
          <w:cantSplit/>
          <w:trHeight w:val="405"/>
        </w:trPr>
        <w:tc>
          <w:tcPr>
            <w:tcW w:w="9781" w:type="dxa"/>
            <w:gridSpan w:val="3"/>
            <w:tcBorders>
              <w:top w:val="nil"/>
              <w:left w:val="nil"/>
              <w:bottom w:val="nil"/>
              <w:right w:val="nil"/>
            </w:tcBorders>
            <w:vAlign w:val="center"/>
          </w:tcPr>
          <w:p w:rsidR="00AD532F" w:rsidRPr="00BC3779" w:rsidRDefault="00AD532F" w:rsidP="00A03C9E">
            <w:pPr>
              <w:pStyle w:val="ECCLetterHead"/>
            </w:pPr>
            <w:proofErr w:type="spellStart"/>
            <w:r w:rsidRPr="00BC3779">
              <w:t>Pratteln</w:t>
            </w:r>
            <w:proofErr w:type="spellEnd"/>
            <w:r w:rsidRPr="00BC3779">
              <w:t xml:space="preserve"> (near Basel) / Switzerland, 14 - 18 May 2018</w:t>
            </w:r>
          </w:p>
        </w:tc>
      </w:tr>
      <w:tr w:rsidR="00F11542" w:rsidRPr="00BC3779" w:rsidTr="00D500AF">
        <w:tblPrEx>
          <w:tblCellMar>
            <w:left w:w="108" w:type="dxa"/>
            <w:right w:w="108" w:type="dxa"/>
          </w:tblCellMar>
        </w:tblPrEx>
        <w:trPr>
          <w:cantSplit/>
          <w:trHeight w:hRule="exact" w:val="79"/>
        </w:trPr>
        <w:tc>
          <w:tcPr>
            <w:tcW w:w="9781" w:type="dxa"/>
            <w:gridSpan w:val="3"/>
            <w:tcBorders>
              <w:top w:val="nil"/>
              <w:left w:val="nil"/>
              <w:bottom w:val="nil"/>
              <w:right w:val="nil"/>
            </w:tcBorders>
            <w:vAlign w:val="center"/>
          </w:tcPr>
          <w:p w:rsidR="00F11542" w:rsidRPr="00BC3779" w:rsidRDefault="00F11542" w:rsidP="00263FFB">
            <w:pPr>
              <w:pStyle w:val="ECCLetterHead"/>
              <w:rPr>
                <w:rFonts w:cs="Arial"/>
                <w:sz w:val="20"/>
              </w:rPr>
            </w:pPr>
          </w:p>
        </w:tc>
      </w:tr>
      <w:tr w:rsidR="00263FFB" w:rsidRPr="00BC3779" w:rsidTr="001B0583">
        <w:tblPrEx>
          <w:tblCellMar>
            <w:left w:w="108" w:type="dxa"/>
            <w:right w:w="108" w:type="dxa"/>
          </w:tblCellMar>
        </w:tblPrEx>
        <w:trPr>
          <w:cantSplit/>
          <w:trHeight w:val="405"/>
        </w:trPr>
        <w:tc>
          <w:tcPr>
            <w:tcW w:w="1819" w:type="dxa"/>
            <w:tcBorders>
              <w:top w:val="nil"/>
              <w:left w:val="nil"/>
              <w:bottom w:val="nil"/>
              <w:right w:val="nil"/>
            </w:tcBorders>
            <w:vAlign w:val="center"/>
          </w:tcPr>
          <w:p w:rsidR="00263FFB" w:rsidRPr="00BC3779" w:rsidRDefault="00263FFB" w:rsidP="00263FFB">
            <w:pPr>
              <w:pStyle w:val="ECCLetterHead"/>
              <w:rPr>
                <w:rFonts w:cs="Arial"/>
                <w:sz w:val="20"/>
              </w:rPr>
            </w:pPr>
            <w:r w:rsidRPr="00BC3779">
              <w:rPr>
                <w:rFonts w:cs="Arial"/>
                <w:sz w:val="20"/>
              </w:rPr>
              <w:t xml:space="preserve">Date issued: </w:t>
            </w:r>
          </w:p>
        </w:tc>
        <w:tc>
          <w:tcPr>
            <w:tcW w:w="7962" w:type="dxa"/>
            <w:gridSpan w:val="2"/>
            <w:tcBorders>
              <w:top w:val="nil"/>
              <w:left w:val="nil"/>
              <w:bottom w:val="nil"/>
              <w:right w:val="nil"/>
            </w:tcBorders>
            <w:vAlign w:val="center"/>
          </w:tcPr>
          <w:p w:rsidR="00263FFB" w:rsidRPr="00BC3779" w:rsidRDefault="001D5DF4" w:rsidP="001D5DF4">
            <w:pPr>
              <w:pStyle w:val="ECCLetterHead"/>
              <w:rPr>
                <w:rFonts w:cs="Arial"/>
                <w:sz w:val="20"/>
              </w:rPr>
            </w:pPr>
            <w:r>
              <w:rPr>
                <w:rFonts w:cs="Arial"/>
                <w:sz w:val="20"/>
              </w:rPr>
              <w:t>1</w:t>
            </w:r>
            <w:r w:rsidR="00C856C5">
              <w:rPr>
                <w:rFonts w:cs="Arial"/>
                <w:sz w:val="20"/>
              </w:rPr>
              <w:t xml:space="preserve"> </w:t>
            </w:r>
            <w:r>
              <w:rPr>
                <w:rFonts w:cs="Arial"/>
                <w:sz w:val="20"/>
              </w:rPr>
              <w:t>June 2018</w:t>
            </w:r>
            <w:r w:rsidR="006154B7">
              <w:rPr>
                <w:rFonts w:cs="Arial"/>
                <w:sz w:val="20"/>
              </w:rPr>
              <w:t xml:space="preserve"> </w:t>
            </w:r>
          </w:p>
        </w:tc>
      </w:tr>
      <w:tr w:rsidR="00263FFB" w:rsidRPr="00BC3779" w:rsidTr="001B0583">
        <w:tblPrEx>
          <w:tblCellMar>
            <w:left w:w="108" w:type="dxa"/>
            <w:right w:w="108" w:type="dxa"/>
          </w:tblCellMar>
        </w:tblPrEx>
        <w:trPr>
          <w:cantSplit/>
          <w:trHeight w:val="405"/>
        </w:trPr>
        <w:tc>
          <w:tcPr>
            <w:tcW w:w="1819" w:type="dxa"/>
            <w:tcBorders>
              <w:top w:val="nil"/>
              <w:left w:val="nil"/>
              <w:bottom w:val="nil"/>
              <w:right w:val="nil"/>
            </w:tcBorders>
            <w:vAlign w:val="center"/>
          </w:tcPr>
          <w:p w:rsidR="00263FFB" w:rsidRPr="00BC3779" w:rsidRDefault="00263FFB" w:rsidP="00263FFB">
            <w:pPr>
              <w:pStyle w:val="ECCLetterHead"/>
              <w:rPr>
                <w:rFonts w:cs="Arial"/>
                <w:sz w:val="20"/>
              </w:rPr>
            </w:pPr>
            <w:r w:rsidRPr="00BC3779">
              <w:rPr>
                <w:rFonts w:cs="Arial"/>
                <w:sz w:val="20"/>
              </w:rPr>
              <w:t xml:space="preserve">Source: </w:t>
            </w:r>
          </w:p>
        </w:tc>
        <w:tc>
          <w:tcPr>
            <w:tcW w:w="7962" w:type="dxa"/>
            <w:gridSpan w:val="2"/>
            <w:tcBorders>
              <w:top w:val="nil"/>
              <w:left w:val="nil"/>
              <w:bottom w:val="nil"/>
              <w:right w:val="nil"/>
            </w:tcBorders>
            <w:vAlign w:val="center"/>
          </w:tcPr>
          <w:p w:rsidR="00263FFB" w:rsidRPr="00BC3779" w:rsidRDefault="00CA7E5D" w:rsidP="00CA7E5D">
            <w:pPr>
              <w:pStyle w:val="ECCLetterHead"/>
              <w:rPr>
                <w:rFonts w:cs="Arial"/>
                <w:sz w:val="20"/>
              </w:rPr>
            </w:pPr>
            <w:r w:rsidRPr="00BC3779">
              <w:rPr>
                <w:rFonts w:cs="Arial"/>
                <w:sz w:val="20"/>
              </w:rPr>
              <w:t>ECO</w:t>
            </w:r>
          </w:p>
        </w:tc>
      </w:tr>
      <w:tr w:rsidR="00263FFB" w:rsidRPr="00BC3779" w:rsidTr="001B0583">
        <w:tblPrEx>
          <w:tblCellMar>
            <w:left w:w="108" w:type="dxa"/>
            <w:right w:w="108" w:type="dxa"/>
          </w:tblCellMar>
        </w:tblPrEx>
        <w:trPr>
          <w:cantSplit/>
          <w:trHeight w:val="405"/>
        </w:trPr>
        <w:tc>
          <w:tcPr>
            <w:tcW w:w="1819" w:type="dxa"/>
            <w:tcBorders>
              <w:top w:val="nil"/>
              <w:left w:val="nil"/>
              <w:bottom w:val="nil"/>
              <w:right w:val="nil"/>
            </w:tcBorders>
            <w:vAlign w:val="center"/>
          </w:tcPr>
          <w:p w:rsidR="00263FFB" w:rsidRPr="00BC3779" w:rsidRDefault="00263FFB" w:rsidP="00263FFB">
            <w:pPr>
              <w:pStyle w:val="ECCLetterHead"/>
              <w:rPr>
                <w:rFonts w:cs="Arial"/>
                <w:sz w:val="20"/>
              </w:rPr>
            </w:pPr>
            <w:r w:rsidRPr="00BC3779">
              <w:rPr>
                <w:rFonts w:cs="Arial"/>
                <w:sz w:val="20"/>
              </w:rPr>
              <w:t xml:space="preserve">Subject: </w:t>
            </w:r>
          </w:p>
        </w:tc>
        <w:tc>
          <w:tcPr>
            <w:tcW w:w="7962" w:type="dxa"/>
            <w:gridSpan w:val="2"/>
            <w:tcBorders>
              <w:top w:val="nil"/>
              <w:left w:val="nil"/>
              <w:bottom w:val="nil"/>
              <w:right w:val="nil"/>
            </w:tcBorders>
            <w:vAlign w:val="center"/>
          </w:tcPr>
          <w:p w:rsidR="00263FFB" w:rsidRPr="00BC3779" w:rsidRDefault="00CA7E5D" w:rsidP="00CA7E5D">
            <w:pPr>
              <w:pStyle w:val="ECCLetterHead"/>
              <w:rPr>
                <w:rFonts w:cs="Arial"/>
                <w:sz w:val="20"/>
              </w:rPr>
            </w:pPr>
            <w:r w:rsidRPr="00BC3779">
              <w:rPr>
                <w:rFonts w:cs="Arial"/>
                <w:sz w:val="20"/>
              </w:rPr>
              <w:t>WGFM QUESTIONNAIRE TO CEPT ADMINISTRATIONS ON CURRENT AND FUTURE TRENDS FOR THE FIXED SERVICES AND STATUS OF OTHER INCUMBENT USES IN EUROPE IN THE FREQUENCY BAND 5925-6425 MHz</w:t>
            </w:r>
          </w:p>
        </w:tc>
      </w:tr>
      <w:tr w:rsidR="00263FFB" w:rsidRPr="00BC3779" w:rsidTr="001B0583">
        <w:tblPrEx>
          <w:tblCellMar>
            <w:left w:w="108" w:type="dxa"/>
            <w:right w:w="108" w:type="dxa"/>
          </w:tblCellMar>
        </w:tblPrEx>
        <w:trPr>
          <w:cantSplit/>
          <w:trHeight w:val="1040"/>
        </w:trPr>
        <w:tc>
          <w:tcPr>
            <w:tcW w:w="9781" w:type="dxa"/>
            <w:gridSpan w:val="3"/>
            <w:tcBorders>
              <w:top w:val="nil"/>
              <w:left w:val="nil"/>
              <w:bottom w:val="nil"/>
              <w:right w:val="nil"/>
            </w:tcBorders>
            <w:vAlign w:val="center"/>
          </w:tcPr>
          <w:p w:rsidR="00263FFB" w:rsidRPr="00326E9B" w:rsidRDefault="00263FFB" w:rsidP="00263FFB">
            <w:pPr>
              <w:pStyle w:val="ECCTabletext"/>
              <w:rPr>
                <w:rFonts w:cs="Arial"/>
                <w:szCs w:val="20"/>
              </w:rPr>
            </w:pPr>
            <w:r w:rsidRPr="006D6A5E">
              <w:rPr>
                <w:rFonts w:cs="Arial"/>
                <w:noProof/>
                <w:szCs w:val="20"/>
                <w:lang w:val="en-US"/>
              </w:rPr>
              <mc:AlternateContent>
                <mc:Choice Requires="wps">
                  <w:drawing>
                    <wp:anchor distT="0" distB="0" distL="114300" distR="114300" simplePos="0" relativeHeight="251662336" behindDoc="0" locked="1" layoutInCell="0" allowOverlap="1" wp14:anchorId="01098D56" wp14:editId="667FD509">
                      <wp:simplePos x="0" y="0"/>
                      <wp:positionH relativeFrom="column">
                        <wp:posOffset>2718435</wp:posOffset>
                      </wp:positionH>
                      <wp:positionV relativeFrom="paragraph">
                        <wp:posOffset>186690</wp:posOffset>
                      </wp:positionV>
                      <wp:extent cx="457200" cy="269875"/>
                      <wp:effectExtent l="0" t="0" r="19050" b="15875"/>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9875"/>
                              </a:xfrm>
                              <a:prstGeom prst="rect">
                                <a:avLst/>
                              </a:prstGeom>
                              <a:solidFill>
                                <a:srgbClr val="FFFFFF"/>
                              </a:solidFill>
                              <a:ln w="9525">
                                <a:solidFill>
                                  <a:srgbClr val="000000"/>
                                </a:solidFill>
                                <a:miter lim="800000"/>
                                <a:headEnd/>
                                <a:tailEnd/>
                              </a:ln>
                            </wps:spPr>
                            <wps:txbx>
                              <w:txbxContent>
                                <w:p w:rsidR="001D5DF4" w:rsidRPr="00F45561" w:rsidRDefault="001D5DF4" w:rsidP="00F45561">
                                  <w:pPr>
                                    <w:pStyle w:val="ECCTabletext"/>
                                    <w:jc w:val="center"/>
                                    <w:rPr>
                                      <w:lang w:val="de-DE"/>
                                    </w:rPr>
                                  </w:pPr>
                                  <w:r>
                                    <w:rPr>
                                      <w:lang w:val="de-DE"/>
                                    </w:rPr>
                                    <w:t>N</w:t>
                                  </w:r>
                                </w:p>
                              </w:txbxContent>
                            </wps:txbx>
                            <wps:bodyPr rot="0" vert="horz" wrap="square" lIns="43200" tIns="28800" rIns="36000" bIns="7200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4" o:spid="_x0000_s1026" type="#_x0000_t202" style="position:absolute;left:0;text-align:left;margin-left:214.05pt;margin-top:14.7pt;width:36pt;height:21.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" o:allowincell="f">
                      <v:textbox inset="1.2mm,.8mm,1mm,2mm">
                        <w:txbxContent>
                          <w:p w:rsidR="001D5DF4" w:rsidRPr="00F45561" w:rsidRDefault="001D5DF4" w:rsidP="00F45561">
                            <w:pPr>
                              <w:pStyle w:val="ECCTabletext"/>
                              <w:jc w:val="center"/>
                              <w:rPr>
                                <w:lang w:val="de-DE"/>
                              </w:rPr>
                            </w:pPr>
                            <w:r>
                              <w:rPr>
                                <w:lang w:val="de-DE"/>
                              </w:rPr>
                              <w:t>N</w:t>
                            </w:r>
                          </w:p>
                        </w:txbxContent>
                      </v:textbox>
                      <w10:anchorlock/>
                    </v:shape>
                  </w:pict>
                </mc:Fallback>
              </mc:AlternateContent>
            </w:r>
            <w:r w:rsidRPr="00BC3779">
              <w:rPr>
                <w:rFonts w:cs="Arial"/>
                <w:szCs w:val="20"/>
              </w:rPr>
              <w:t xml:space="preserve">Group membership </w:t>
            </w:r>
            <w:r w:rsidRPr="00326E9B">
              <w:rPr>
                <w:rFonts w:cs="Arial"/>
                <w:szCs w:val="20"/>
              </w:rPr>
              <w:t xml:space="preserve">required </w:t>
            </w:r>
            <w:proofErr w:type="gramStart"/>
            <w:r w:rsidRPr="00326E9B">
              <w:rPr>
                <w:rFonts w:cs="Arial"/>
                <w:szCs w:val="20"/>
              </w:rPr>
              <w:t>to read</w:t>
            </w:r>
            <w:proofErr w:type="gramEnd"/>
            <w:r w:rsidRPr="00326E9B">
              <w:rPr>
                <w:rFonts w:cs="Arial"/>
                <w:szCs w:val="20"/>
              </w:rPr>
              <w:t>? (Y/N)</w:t>
            </w:r>
          </w:p>
        </w:tc>
      </w:tr>
      <w:tr w:rsidR="00263FFB" w:rsidRPr="00BC3779" w:rsidTr="001B0583">
        <w:tblPrEx>
          <w:tblCellMar>
            <w:left w:w="108" w:type="dxa"/>
            <w:right w:w="108" w:type="dxa"/>
          </w:tblCellMar>
        </w:tblPrEx>
        <w:trPr>
          <w:cantSplit/>
          <w:trHeight w:hRule="exact" w:val="74"/>
        </w:trPr>
        <w:tc>
          <w:tcPr>
            <w:tcW w:w="9781" w:type="dxa"/>
            <w:gridSpan w:val="3"/>
            <w:tcBorders>
              <w:top w:val="nil"/>
              <w:left w:val="nil"/>
              <w:bottom w:val="nil"/>
              <w:right w:val="nil"/>
            </w:tcBorders>
            <w:vAlign w:val="center"/>
          </w:tcPr>
          <w:p w:rsidR="00263FFB" w:rsidRPr="00BC3779" w:rsidRDefault="00263FFB" w:rsidP="00263FFB">
            <w:pPr>
              <w:rPr>
                <w:rStyle w:val="ECCParagraph"/>
                <w:rFonts w:cs="Arial"/>
                <w:szCs w:val="20"/>
              </w:rPr>
            </w:pPr>
          </w:p>
          <w:p w:rsidR="00263FFB" w:rsidRPr="00BC3779" w:rsidRDefault="00263FFB" w:rsidP="00263FFB">
            <w:pPr>
              <w:rPr>
                <w:rFonts w:cs="Arial"/>
                <w:szCs w:val="20"/>
              </w:rPr>
            </w:pPr>
          </w:p>
        </w:tc>
      </w:tr>
      <w:tr w:rsidR="00263FFB" w:rsidRPr="00BC3779" w:rsidTr="00A751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6"/>
        </w:trPr>
        <w:tc>
          <w:tcPr>
            <w:tcW w:w="9781" w:type="dxa"/>
            <w:gridSpan w:val="3"/>
            <w:tcBorders>
              <w:top w:val="single" w:sz="6" w:space="0" w:color="C00000"/>
              <w:left w:val="single" w:sz="6" w:space="0" w:color="C00000"/>
              <w:bottom w:val="nil"/>
              <w:right w:val="single" w:sz="6" w:space="0" w:color="C00000"/>
            </w:tcBorders>
            <w:vAlign w:val="center"/>
          </w:tcPr>
          <w:p w:rsidR="00263FFB" w:rsidRPr="00BC3779" w:rsidRDefault="00263FFB" w:rsidP="00263FFB">
            <w:pPr>
              <w:pStyle w:val="ECCLetterHead"/>
              <w:rPr>
                <w:rFonts w:cs="Arial"/>
                <w:sz w:val="20"/>
              </w:rPr>
            </w:pPr>
            <w:r w:rsidRPr="00BC3779">
              <w:rPr>
                <w:rFonts w:cs="Arial"/>
                <w:sz w:val="20"/>
              </w:rPr>
              <w:t xml:space="preserve">Summary: </w:t>
            </w:r>
          </w:p>
        </w:tc>
      </w:tr>
      <w:tr w:rsidR="00263FFB" w:rsidRPr="00BC3779" w:rsidTr="000C0D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80"/>
        </w:trPr>
        <w:tc>
          <w:tcPr>
            <w:tcW w:w="9781" w:type="dxa"/>
            <w:gridSpan w:val="3"/>
            <w:tcBorders>
              <w:top w:val="nil"/>
              <w:left w:val="single" w:sz="6" w:space="0" w:color="C00000"/>
              <w:bottom w:val="single" w:sz="6" w:space="0" w:color="C00000"/>
              <w:right w:val="single" w:sz="6" w:space="0" w:color="C00000"/>
            </w:tcBorders>
          </w:tcPr>
          <w:p w:rsidR="00AD532F" w:rsidRDefault="00D44EF7" w:rsidP="00364873">
            <w:pPr>
              <w:pStyle w:val="ECCTabletext"/>
              <w:rPr>
                <w:rFonts w:cs="Arial"/>
                <w:szCs w:val="20"/>
              </w:rPr>
            </w:pPr>
            <w:r w:rsidRPr="00BC3779">
              <w:rPr>
                <w:rFonts w:cs="Arial"/>
                <w:szCs w:val="20"/>
              </w:rPr>
              <w:t>WG</w:t>
            </w:r>
            <w:r w:rsidR="000C0D72" w:rsidRPr="00BC3779">
              <w:rPr>
                <w:rFonts w:cs="Arial"/>
                <w:szCs w:val="20"/>
              </w:rPr>
              <w:t>FM#</w:t>
            </w:r>
            <w:r w:rsidR="00CA7E5D" w:rsidRPr="00BC3779">
              <w:rPr>
                <w:rFonts w:cs="Arial"/>
                <w:szCs w:val="20"/>
              </w:rPr>
              <w:t xml:space="preserve">90 </w:t>
            </w:r>
            <w:r w:rsidR="000C0D72" w:rsidRPr="00BC3779">
              <w:rPr>
                <w:rFonts w:cs="Arial"/>
                <w:szCs w:val="20"/>
              </w:rPr>
              <w:t xml:space="preserve">in </w:t>
            </w:r>
            <w:r w:rsidR="00CA7E5D" w:rsidRPr="00BC3779">
              <w:rPr>
                <w:rFonts w:cs="Arial"/>
                <w:szCs w:val="20"/>
              </w:rPr>
              <w:t xml:space="preserve">February 2018 </w:t>
            </w:r>
            <w:r w:rsidRPr="00BC3779">
              <w:rPr>
                <w:rFonts w:cs="Arial"/>
                <w:szCs w:val="20"/>
              </w:rPr>
              <w:t>adopted th</w:t>
            </w:r>
            <w:r w:rsidR="00CA7E5D" w:rsidRPr="00BC3779">
              <w:rPr>
                <w:rFonts w:cs="Arial"/>
                <w:szCs w:val="20"/>
              </w:rPr>
              <w:t xml:space="preserve">is </w:t>
            </w:r>
            <w:r w:rsidRPr="00BC3779">
              <w:rPr>
                <w:rFonts w:cs="Arial"/>
                <w:szCs w:val="20"/>
              </w:rPr>
              <w:t>WGFM Questionnaire</w:t>
            </w:r>
            <w:r w:rsidR="00CA7E5D" w:rsidRPr="00BC3779">
              <w:rPr>
                <w:rFonts w:cs="Arial"/>
                <w:szCs w:val="20"/>
              </w:rPr>
              <w:t xml:space="preserve"> to CEPT Administrations. 3</w:t>
            </w:r>
            <w:r w:rsidR="001B0D52" w:rsidRPr="00BC3779">
              <w:rPr>
                <w:rFonts w:cs="Arial"/>
                <w:szCs w:val="20"/>
              </w:rPr>
              <w:t>7</w:t>
            </w:r>
            <w:r w:rsidR="00CA7E5D" w:rsidRPr="00BC3779">
              <w:rPr>
                <w:rFonts w:cs="Arial"/>
                <w:szCs w:val="20"/>
              </w:rPr>
              <w:t xml:space="preserve"> </w:t>
            </w:r>
            <w:r w:rsidRPr="00BC3779">
              <w:rPr>
                <w:rFonts w:cs="Arial"/>
                <w:szCs w:val="20"/>
              </w:rPr>
              <w:t>CEPT Administrations provided an answer by 1</w:t>
            </w:r>
            <w:r w:rsidR="00CA7E5D" w:rsidRPr="00BC3779">
              <w:rPr>
                <w:rFonts w:cs="Arial"/>
                <w:szCs w:val="20"/>
              </w:rPr>
              <w:t>7</w:t>
            </w:r>
            <w:r w:rsidRPr="00BC3779">
              <w:rPr>
                <w:rFonts w:cs="Arial"/>
                <w:szCs w:val="20"/>
              </w:rPr>
              <w:t xml:space="preserve"> April 2018.</w:t>
            </w:r>
          </w:p>
          <w:p w:rsidR="006154B7" w:rsidRDefault="006154B7" w:rsidP="00364873">
            <w:pPr>
              <w:pStyle w:val="ECCTabletext"/>
              <w:rPr>
                <w:rFonts w:cs="Arial"/>
                <w:szCs w:val="20"/>
              </w:rPr>
            </w:pPr>
            <w:r>
              <w:rPr>
                <w:rFonts w:cs="Arial"/>
                <w:szCs w:val="20"/>
              </w:rPr>
              <w:t xml:space="preserve">Un update with additional information from </w:t>
            </w:r>
            <w:r w:rsidR="00CA12C8">
              <w:rPr>
                <w:rFonts w:cs="Arial"/>
                <w:szCs w:val="20"/>
              </w:rPr>
              <w:t>France was received and incorporated in this document.</w:t>
            </w:r>
          </w:p>
          <w:p w:rsidR="00A4751E" w:rsidRPr="00BC3779" w:rsidRDefault="00A4751E" w:rsidP="00364873">
            <w:pPr>
              <w:pStyle w:val="ECCTabletext"/>
              <w:rPr>
                <w:rFonts w:cs="Arial"/>
                <w:szCs w:val="20"/>
              </w:rPr>
            </w:pPr>
            <w:r>
              <w:rPr>
                <w:rFonts w:cs="Arial"/>
                <w:szCs w:val="20"/>
              </w:rPr>
              <w:t>Further detail on the number of FS links and FSS ES was provided by the United Kingdom, as included in the second revision of this document</w:t>
            </w:r>
          </w:p>
          <w:p w:rsidR="00AD532F" w:rsidRPr="00BC3779" w:rsidRDefault="00AD532F" w:rsidP="00364873">
            <w:pPr>
              <w:pStyle w:val="ECCTabletext"/>
              <w:rPr>
                <w:rFonts w:cs="Arial"/>
                <w:szCs w:val="20"/>
              </w:rPr>
            </w:pPr>
          </w:p>
        </w:tc>
      </w:tr>
      <w:tr w:rsidR="00263FFB" w:rsidRPr="00BC3779"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trPr>
        <w:tc>
          <w:tcPr>
            <w:tcW w:w="9781" w:type="dxa"/>
            <w:gridSpan w:val="3"/>
            <w:tcBorders>
              <w:top w:val="single" w:sz="6" w:space="0" w:color="C00000"/>
              <w:left w:val="single" w:sz="6" w:space="0" w:color="C00000"/>
              <w:bottom w:val="nil"/>
              <w:right w:val="single" w:sz="6" w:space="0" w:color="C00000"/>
            </w:tcBorders>
            <w:vAlign w:val="center"/>
          </w:tcPr>
          <w:p w:rsidR="00263FFB" w:rsidRPr="00BC3779" w:rsidRDefault="00263FFB" w:rsidP="00263FFB">
            <w:pPr>
              <w:pStyle w:val="ECCLetterHead"/>
              <w:rPr>
                <w:rFonts w:cs="Arial"/>
                <w:sz w:val="20"/>
              </w:rPr>
            </w:pPr>
            <w:r w:rsidRPr="00BC3779">
              <w:rPr>
                <w:rFonts w:cs="Arial"/>
                <w:sz w:val="20"/>
              </w:rPr>
              <w:t>Proposal:</w:t>
            </w:r>
          </w:p>
        </w:tc>
      </w:tr>
      <w:tr w:rsidR="00263FFB" w:rsidRPr="00BC3779" w:rsidTr="00CA7E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77"/>
        </w:trPr>
        <w:tc>
          <w:tcPr>
            <w:tcW w:w="9781" w:type="dxa"/>
            <w:gridSpan w:val="3"/>
            <w:tcBorders>
              <w:top w:val="nil"/>
              <w:left w:val="single" w:sz="6" w:space="0" w:color="C00000"/>
              <w:bottom w:val="single" w:sz="6" w:space="0" w:color="C00000"/>
              <w:right w:val="single" w:sz="6" w:space="0" w:color="C00000"/>
            </w:tcBorders>
          </w:tcPr>
          <w:p w:rsidR="00D44EF7" w:rsidRPr="00326E9B" w:rsidRDefault="00D44EF7" w:rsidP="008E3D6B">
            <w:pPr>
              <w:pStyle w:val="ECCBulletsLv2"/>
              <w:numPr>
                <w:ilvl w:val="0"/>
                <w:numId w:val="20"/>
              </w:numPr>
              <w:rPr>
                <w:rFonts w:cs="Arial"/>
                <w:szCs w:val="20"/>
              </w:rPr>
            </w:pPr>
            <w:r w:rsidRPr="00BC3779">
              <w:rPr>
                <w:rFonts w:cs="Arial"/>
                <w:szCs w:val="20"/>
              </w:rPr>
              <w:t xml:space="preserve">WGFM </w:t>
            </w:r>
            <w:r w:rsidR="00AD532F" w:rsidRPr="00326E9B">
              <w:rPr>
                <w:rFonts w:cs="Arial"/>
                <w:szCs w:val="20"/>
              </w:rPr>
              <w:t>is</w:t>
            </w:r>
            <w:r w:rsidRPr="00326E9B">
              <w:rPr>
                <w:rFonts w:cs="Arial"/>
                <w:szCs w:val="20"/>
              </w:rPr>
              <w:t xml:space="preserve"> </w:t>
            </w:r>
            <w:r w:rsidR="00AD532F" w:rsidRPr="00326E9B">
              <w:rPr>
                <w:rFonts w:cs="Arial"/>
                <w:szCs w:val="20"/>
              </w:rPr>
              <w:t>invited</w:t>
            </w:r>
            <w:r w:rsidRPr="00326E9B">
              <w:rPr>
                <w:rFonts w:cs="Arial"/>
                <w:szCs w:val="20"/>
              </w:rPr>
              <w:t xml:space="preserve"> to consider the results of the questionnaire</w:t>
            </w:r>
            <w:r w:rsidR="00AD532F" w:rsidRPr="00326E9B">
              <w:rPr>
                <w:rFonts w:cs="Arial"/>
                <w:szCs w:val="20"/>
              </w:rPr>
              <w:t xml:space="preserve"> in its 91</w:t>
            </w:r>
            <w:r w:rsidR="00AD532F" w:rsidRPr="00326E9B">
              <w:rPr>
                <w:rFonts w:cs="Arial"/>
                <w:szCs w:val="20"/>
                <w:vertAlign w:val="superscript"/>
              </w:rPr>
              <w:t>st</w:t>
            </w:r>
            <w:r w:rsidR="00AD532F" w:rsidRPr="00326E9B">
              <w:rPr>
                <w:rFonts w:cs="Arial"/>
                <w:szCs w:val="20"/>
              </w:rPr>
              <w:t xml:space="preserve"> meeting in May 2018</w:t>
            </w:r>
            <w:r w:rsidRPr="00326E9B">
              <w:rPr>
                <w:rFonts w:cs="Arial"/>
                <w:szCs w:val="20"/>
              </w:rPr>
              <w:t>.</w:t>
            </w:r>
          </w:p>
          <w:p w:rsidR="002F70E6" w:rsidRPr="00326E9B" w:rsidRDefault="00CA7E5D" w:rsidP="008E3D6B">
            <w:pPr>
              <w:pStyle w:val="ECCBulletsLv2"/>
              <w:numPr>
                <w:ilvl w:val="0"/>
                <w:numId w:val="20"/>
              </w:numPr>
              <w:rPr>
                <w:rFonts w:cs="Arial"/>
                <w:szCs w:val="20"/>
              </w:rPr>
            </w:pPr>
            <w:r w:rsidRPr="00326E9B">
              <w:rPr>
                <w:rFonts w:cs="Arial"/>
                <w:szCs w:val="20"/>
              </w:rPr>
              <w:t>FM57 is requested to review the responses received and make proposals to WGFM</w:t>
            </w:r>
            <w:r w:rsidR="00D44EF7" w:rsidRPr="00326E9B">
              <w:rPr>
                <w:rFonts w:cs="Arial"/>
                <w:szCs w:val="20"/>
              </w:rPr>
              <w:t>.</w:t>
            </w:r>
          </w:p>
          <w:p w:rsidR="008E3D6B" w:rsidRPr="00326E9B" w:rsidRDefault="008E3D6B" w:rsidP="008E3D6B">
            <w:pPr>
              <w:pStyle w:val="ECCBulletsLv2"/>
              <w:numPr>
                <w:ilvl w:val="0"/>
                <w:numId w:val="20"/>
              </w:numPr>
              <w:rPr>
                <w:rFonts w:cs="Arial"/>
                <w:szCs w:val="20"/>
              </w:rPr>
            </w:pPr>
            <w:r w:rsidRPr="00326E9B">
              <w:rPr>
                <w:rFonts w:cs="Arial"/>
                <w:szCs w:val="20"/>
              </w:rPr>
              <w:t xml:space="preserve">SE19 and SE45 are invited to consider the results of the questionnaire as appropriate. </w:t>
            </w:r>
          </w:p>
          <w:p w:rsidR="008E3D6B" w:rsidRPr="00326E9B" w:rsidRDefault="008E3D6B" w:rsidP="00CA7E5D">
            <w:pPr>
              <w:pStyle w:val="ECCBulletsLv2"/>
              <w:numPr>
                <w:ilvl w:val="0"/>
                <w:numId w:val="0"/>
              </w:numPr>
              <w:ind w:left="340"/>
              <w:rPr>
                <w:rFonts w:cs="Arial"/>
                <w:szCs w:val="20"/>
              </w:rPr>
            </w:pPr>
          </w:p>
        </w:tc>
      </w:tr>
      <w:tr w:rsidR="00263FFB" w:rsidRPr="00BC3779"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trPr>
        <w:tc>
          <w:tcPr>
            <w:tcW w:w="9781" w:type="dxa"/>
            <w:gridSpan w:val="3"/>
            <w:tcBorders>
              <w:top w:val="single" w:sz="6" w:space="0" w:color="C00000"/>
              <w:left w:val="single" w:sz="6" w:space="0" w:color="C00000"/>
              <w:bottom w:val="nil"/>
              <w:right w:val="single" w:sz="6" w:space="0" w:color="C00000"/>
            </w:tcBorders>
            <w:vAlign w:val="center"/>
          </w:tcPr>
          <w:p w:rsidR="00263FFB" w:rsidRPr="00BC3779" w:rsidRDefault="00263FFB" w:rsidP="000C0D72">
            <w:pPr>
              <w:pStyle w:val="ECCLetterHead"/>
              <w:rPr>
                <w:rFonts w:cs="Arial"/>
                <w:sz w:val="20"/>
              </w:rPr>
            </w:pPr>
            <w:r w:rsidRPr="00BC3779">
              <w:rPr>
                <w:rFonts w:cs="Arial"/>
                <w:sz w:val="20"/>
              </w:rPr>
              <w:t>Background:</w:t>
            </w:r>
          </w:p>
          <w:p w:rsidR="00CA7E5D" w:rsidRPr="00BC3779" w:rsidRDefault="00CA7E5D" w:rsidP="00CA7E5D">
            <w:pPr>
              <w:pStyle w:val="ECCTabletext"/>
              <w:rPr>
                <w:rFonts w:cs="Arial"/>
                <w:szCs w:val="20"/>
              </w:rPr>
            </w:pPr>
            <w:r w:rsidRPr="00BC3779">
              <w:rPr>
                <w:rFonts w:cs="Arial"/>
                <w:szCs w:val="20"/>
              </w:rPr>
              <w:t>The questionnaire as sent out by ECO is in Annex 1.</w:t>
            </w:r>
          </w:p>
          <w:p w:rsidR="00CA7E5D" w:rsidRPr="00BC3779" w:rsidRDefault="00CA7E5D" w:rsidP="00CA7E5D">
            <w:pPr>
              <w:pStyle w:val="ECCTabletext"/>
              <w:rPr>
                <w:rFonts w:cs="Arial"/>
                <w:szCs w:val="20"/>
              </w:rPr>
            </w:pPr>
          </w:p>
          <w:p w:rsidR="00555CFA" w:rsidRDefault="00CA7E5D" w:rsidP="00555CFA">
            <w:pPr>
              <w:pStyle w:val="ECCTabletext"/>
              <w:rPr>
                <w:rFonts w:cs="Arial"/>
                <w:szCs w:val="20"/>
              </w:rPr>
            </w:pPr>
            <w:r w:rsidRPr="00BC3779">
              <w:rPr>
                <w:rFonts w:cs="Arial"/>
                <w:szCs w:val="20"/>
              </w:rPr>
              <w:t>The responses received are in Annex 2</w:t>
            </w:r>
            <w:r w:rsidR="00B250C1">
              <w:rPr>
                <w:rFonts w:cs="Arial"/>
                <w:szCs w:val="20"/>
              </w:rPr>
              <w:t>R1</w:t>
            </w:r>
            <w:r w:rsidRPr="00BC3779">
              <w:rPr>
                <w:rFonts w:cs="Arial"/>
                <w:szCs w:val="20"/>
              </w:rPr>
              <w:t>. This includes the received 2</w:t>
            </w:r>
            <w:r w:rsidR="008934DB" w:rsidRPr="00BC3779">
              <w:rPr>
                <w:rFonts w:cs="Arial"/>
                <w:szCs w:val="20"/>
              </w:rPr>
              <w:t>8</w:t>
            </w:r>
            <w:r w:rsidRPr="00BC3779">
              <w:rPr>
                <w:rFonts w:cs="Arial"/>
                <w:szCs w:val="20"/>
              </w:rPr>
              <w:t xml:space="preserve"> excel spreadsheets and 20 word-file answers. The difference is due to the possibility to also provide only an electronic answer in the electronic questionnaire tool.</w:t>
            </w:r>
          </w:p>
          <w:p w:rsidR="00453D74" w:rsidRPr="00BC3779" w:rsidRDefault="00453D74" w:rsidP="00555CFA">
            <w:pPr>
              <w:pStyle w:val="ECCTabletext"/>
              <w:rPr>
                <w:rFonts w:cs="Arial"/>
                <w:szCs w:val="20"/>
              </w:rPr>
            </w:pPr>
          </w:p>
          <w:p w:rsidR="008E3D6B" w:rsidRPr="00326E9B" w:rsidRDefault="00555CFA" w:rsidP="00B758D9">
            <w:pPr>
              <w:pStyle w:val="ECCTabletext"/>
              <w:rPr>
                <w:rFonts w:cs="Arial"/>
                <w:szCs w:val="20"/>
              </w:rPr>
            </w:pPr>
            <w:r w:rsidRPr="00BC3779">
              <w:rPr>
                <w:szCs w:val="20"/>
              </w:rPr>
              <w:t>R</w:t>
            </w:r>
            <w:r w:rsidR="00B758D9" w:rsidRPr="00BC3779">
              <w:rPr>
                <w:szCs w:val="20"/>
              </w:rPr>
              <w:t>esponses</w:t>
            </w:r>
            <w:r w:rsidRPr="00BC3779">
              <w:rPr>
                <w:szCs w:val="20"/>
              </w:rPr>
              <w:t xml:space="preserve"> </w:t>
            </w:r>
            <w:r w:rsidR="00B758D9" w:rsidRPr="00BC3779">
              <w:rPr>
                <w:szCs w:val="20"/>
              </w:rPr>
              <w:t>for Q4-Q7, as detailed by CEPT administrations in the table provided with the questionnaire, are</w:t>
            </w:r>
            <w:r w:rsidRPr="00BC3779">
              <w:rPr>
                <w:szCs w:val="20"/>
              </w:rPr>
              <w:t xml:space="preserve"> compi</w:t>
            </w:r>
            <w:r w:rsidR="00B758D9" w:rsidRPr="00BC3779">
              <w:rPr>
                <w:szCs w:val="20"/>
              </w:rPr>
              <w:t>led</w:t>
            </w:r>
            <w:r w:rsidRPr="00BC3779">
              <w:rPr>
                <w:szCs w:val="20"/>
              </w:rPr>
              <w:t xml:space="preserve"> in the </w:t>
            </w:r>
            <w:r w:rsidR="008E3D6B" w:rsidRPr="00BC3779">
              <w:rPr>
                <w:szCs w:val="20"/>
              </w:rPr>
              <w:t>Excel spreadsheet in Annex 3</w:t>
            </w:r>
            <w:r w:rsidR="00B250C1">
              <w:rPr>
                <w:szCs w:val="20"/>
              </w:rPr>
              <w:t>R1</w:t>
            </w:r>
            <w:r w:rsidRPr="00BC3779">
              <w:rPr>
                <w:szCs w:val="20"/>
              </w:rPr>
              <w:t>.</w:t>
            </w:r>
          </w:p>
        </w:tc>
      </w:tr>
      <w:tr w:rsidR="00265F50" w:rsidRPr="00BC3779" w:rsidTr="00CA7E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7"/>
        </w:trPr>
        <w:tc>
          <w:tcPr>
            <w:tcW w:w="9781" w:type="dxa"/>
            <w:gridSpan w:val="3"/>
            <w:tcBorders>
              <w:top w:val="nil"/>
              <w:left w:val="single" w:sz="6" w:space="0" w:color="C00000"/>
              <w:bottom w:val="single" w:sz="6" w:space="0" w:color="C00000"/>
              <w:right w:val="single" w:sz="6" w:space="0" w:color="C00000"/>
            </w:tcBorders>
          </w:tcPr>
          <w:p w:rsidR="000C0D72" w:rsidRPr="00BC3779" w:rsidRDefault="000C0D72" w:rsidP="000C0D72">
            <w:pPr>
              <w:pStyle w:val="ECCTabletext"/>
              <w:rPr>
                <w:rFonts w:cs="Arial"/>
                <w:szCs w:val="20"/>
              </w:rPr>
            </w:pPr>
          </w:p>
        </w:tc>
      </w:tr>
    </w:tbl>
    <w:p w:rsidR="00CA7E5D" w:rsidRPr="00BC3779" w:rsidRDefault="00CA7E5D" w:rsidP="00CA7E5D">
      <w:pPr>
        <w:spacing w:before="0" w:after="120" w:line="276" w:lineRule="auto"/>
        <w:ind w:left="360"/>
        <w:jc w:val="left"/>
        <w:rPr>
          <w:rFonts w:cs="Arial"/>
          <w:b/>
          <w:szCs w:val="20"/>
        </w:rPr>
      </w:pPr>
    </w:p>
    <w:p w:rsidR="00CA7E5D" w:rsidRPr="00BC3779" w:rsidRDefault="00CA7E5D">
      <w:pPr>
        <w:rPr>
          <w:rFonts w:cs="Arial"/>
          <w:b/>
          <w:szCs w:val="20"/>
        </w:rPr>
      </w:pPr>
      <w:r w:rsidRPr="00BC3779">
        <w:rPr>
          <w:rFonts w:cs="Arial"/>
          <w:b/>
          <w:szCs w:val="20"/>
        </w:rPr>
        <w:br w:type="page"/>
      </w:r>
    </w:p>
    <w:p w:rsidR="0088048C" w:rsidRPr="00BC3779" w:rsidRDefault="0088048C" w:rsidP="0088048C">
      <w:pPr>
        <w:pStyle w:val="ListParagraph"/>
        <w:numPr>
          <w:ilvl w:val="0"/>
          <w:numId w:val="15"/>
        </w:numPr>
        <w:spacing w:before="0" w:after="120" w:line="276" w:lineRule="auto"/>
        <w:jc w:val="left"/>
        <w:rPr>
          <w:rFonts w:cs="Arial"/>
          <w:b/>
          <w:szCs w:val="20"/>
        </w:rPr>
      </w:pPr>
      <w:r w:rsidRPr="00BC3779">
        <w:rPr>
          <w:rFonts w:cs="Arial"/>
          <w:b/>
          <w:szCs w:val="20"/>
        </w:rPr>
        <w:lastRenderedPageBreak/>
        <w:t>Introduction</w:t>
      </w:r>
    </w:p>
    <w:p w:rsidR="0088048C" w:rsidRPr="00BC3779" w:rsidRDefault="0088048C" w:rsidP="0088048C">
      <w:pPr>
        <w:spacing w:line="276" w:lineRule="auto"/>
        <w:jc w:val="left"/>
        <w:rPr>
          <w:rFonts w:cs="Arial"/>
          <w:szCs w:val="20"/>
        </w:rPr>
      </w:pPr>
      <w:r w:rsidRPr="00BC3779">
        <w:rPr>
          <w:rFonts w:cs="Arial"/>
          <w:szCs w:val="20"/>
        </w:rPr>
        <w:t>The questionnaire was submitted to the 48 CEPT countries. Contributing countries are highlighted in red</w:t>
      </w:r>
      <w:r w:rsidR="00C312BF" w:rsidRPr="00BC3779">
        <w:rPr>
          <w:rFonts w:cs="Arial"/>
          <w:szCs w:val="20"/>
        </w:rPr>
        <w:t xml:space="preserve"> </w:t>
      </w:r>
      <w:r w:rsidRPr="00BC3779">
        <w:rPr>
          <w:rFonts w:cs="Arial"/>
          <w:szCs w:val="20"/>
        </w:rPr>
        <w:t xml:space="preserve">in </w:t>
      </w:r>
      <w:r w:rsidR="00284ED0" w:rsidRPr="00BC3779">
        <w:rPr>
          <w:rFonts w:cs="Arial"/>
          <w:szCs w:val="20"/>
        </w:rPr>
        <w:t>the Table below.</w:t>
      </w:r>
    </w:p>
    <w:p w:rsidR="0088048C" w:rsidRPr="00326E9B" w:rsidRDefault="0088048C" w:rsidP="0088048C">
      <w:pPr>
        <w:keepLines/>
        <w:spacing w:after="200"/>
        <w:jc w:val="center"/>
        <w:rPr>
          <w:rFonts w:cs="Arial"/>
          <w:szCs w:val="20"/>
        </w:rPr>
      </w:pPr>
      <w:r w:rsidRPr="00BC3779">
        <w:rPr>
          <w:rFonts w:cs="Arial"/>
          <w:b/>
          <w:bCs/>
          <w:szCs w:val="20"/>
        </w:rPr>
        <w:t xml:space="preserve">Table </w:t>
      </w:r>
      <w:r w:rsidRPr="00326E9B">
        <w:rPr>
          <w:rFonts w:cs="Arial"/>
          <w:b/>
          <w:bCs/>
          <w:szCs w:val="20"/>
        </w:rPr>
        <w:fldChar w:fldCharType="begin"/>
      </w:r>
      <w:r w:rsidRPr="00BC3779">
        <w:rPr>
          <w:rFonts w:cs="Arial"/>
          <w:b/>
          <w:bCs/>
          <w:szCs w:val="20"/>
        </w:rPr>
        <w:instrText xml:space="preserve"> SEQ Table \* ARABIC </w:instrText>
      </w:r>
      <w:r w:rsidRPr="00326E9B">
        <w:rPr>
          <w:rFonts w:cs="Arial"/>
          <w:b/>
          <w:bCs/>
          <w:szCs w:val="20"/>
        </w:rPr>
        <w:fldChar w:fldCharType="separate"/>
      </w:r>
      <w:r w:rsidR="00C83E0E" w:rsidRPr="00326E9B">
        <w:rPr>
          <w:rFonts w:cs="Arial"/>
          <w:b/>
          <w:bCs/>
          <w:noProof/>
          <w:szCs w:val="20"/>
        </w:rPr>
        <w:t>1</w:t>
      </w:r>
      <w:r w:rsidRPr="00326E9B">
        <w:rPr>
          <w:rFonts w:cs="Arial"/>
          <w:b/>
          <w:bCs/>
          <w:szCs w:val="20"/>
        </w:rPr>
        <w:fldChar w:fldCharType="end"/>
      </w:r>
      <w:r w:rsidRPr="00BC3779">
        <w:rPr>
          <w:rFonts w:cs="Arial"/>
          <w:b/>
          <w:bCs/>
          <w:szCs w:val="20"/>
        </w:rPr>
        <w:t>: Responses received (in red)</w:t>
      </w:r>
    </w:p>
    <w:tbl>
      <w:tblPr>
        <w:tblW w:w="0" w:type="auto"/>
        <w:jc w:val="center"/>
        <w:tblInd w:w="360"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224"/>
        <w:gridCol w:w="3938"/>
      </w:tblGrid>
      <w:tr w:rsidR="0088048C" w:rsidRPr="00BC3779" w:rsidTr="00D500AF">
        <w:trPr>
          <w:trHeight w:val="1428"/>
          <w:jc w:val="center"/>
        </w:trPr>
        <w:tc>
          <w:tcPr>
            <w:tcW w:w="4224" w:type="dxa"/>
            <w:tcBorders>
              <w:top w:val="single" w:sz="4" w:space="0" w:color="auto"/>
              <w:bottom w:val="single" w:sz="4" w:space="0" w:color="auto"/>
            </w:tcBorders>
          </w:tcPr>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Albania</w:t>
            </w:r>
          </w:p>
          <w:p w:rsidR="0088048C" w:rsidRPr="00230DDC" w:rsidRDefault="0088048C" w:rsidP="0088048C">
            <w:pPr>
              <w:keepLines/>
              <w:autoSpaceDE w:val="0"/>
              <w:autoSpaceDN w:val="0"/>
              <w:spacing w:before="0" w:after="0"/>
              <w:rPr>
                <w:rFonts w:cs="Arial"/>
                <w:szCs w:val="20"/>
                <w:lang w:val="es-ES_tradnl" w:eastAsia="da-DK"/>
              </w:rPr>
            </w:pPr>
            <w:r w:rsidRPr="00230DDC">
              <w:rPr>
                <w:rFonts w:cs="Arial"/>
                <w:szCs w:val="20"/>
                <w:lang w:val="es-ES_tradnl" w:eastAsia="da-DK"/>
              </w:rPr>
              <w:t>Andorra</w:t>
            </w:r>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Austria</w:t>
            </w:r>
          </w:p>
          <w:p w:rsidR="0088048C" w:rsidRPr="00230DDC" w:rsidRDefault="0088048C" w:rsidP="0088048C">
            <w:pPr>
              <w:keepLines/>
              <w:autoSpaceDE w:val="0"/>
              <w:autoSpaceDN w:val="0"/>
              <w:spacing w:before="0" w:after="0"/>
              <w:rPr>
                <w:rFonts w:cs="Arial"/>
                <w:color w:val="FF0000"/>
                <w:szCs w:val="20"/>
                <w:lang w:val="es-ES_tradnl" w:eastAsia="da-DK"/>
              </w:rPr>
            </w:pPr>
            <w:proofErr w:type="spellStart"/>
            <w:r w:rsidRPr="00230DDC">
              <w:rPr>
                <w:rFonts w:cs="Arial"/>
                <w:color w:val="FF0000"/>
                <w:szCs w:val="20"/>
                <w:lang w:val="es-ES_tradnl" w:eastAsia="da-DK"/>
              </w:rPr>
              <w:t>Azerbaijan</w:t>
            </w:r>
            <w:proofErr w:type="spellEnd"/>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Belarus</w:t>
            </w:r>
          </w:p>
          <w:p w:rsidR="0088048C" w:rsidRPr="00230DDC" w:rsidRDefault="0088048C" w:rsidP="0088048C">
            <w:pPr>
              <w:keepLines/>
              <w:autoSpaceDE w:val="0"/>
              <w:autoSpaceDN w:val="0"/>
              <w:spacing w:before="0" w:after="0"/>
              <w:rPr>
                <w:rFonts w:cs="Arial"/>
                <w:color w:val="FF0000"/>
                <w:szCs w:val="20"/>
                <w:lang w:val="es-ES_tradnl" w:eastAsia="da-DK"/>
              </w:rPr>
            </w:pPr>
            <w:proofErr w:type="spellStart"/>
            <w:r w:rsidRPr="00230DDC">
              <w:rPr>
                <w:rFonts w:cs="Arial"/>
                <w:color w:val="FF0000"/>
                <w:szCs w:val="20"/>
                <w:lang w:val="es-ES_tradnl" w:eastAsia="da-DK"/>
              </w:rPr>
              <w:t>Belgium</w:t>
            </w:r>
            <w:proofErr w:type="spellEnd"/>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Bosnia Herzegovina</w:t>
            </w:r>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Bulgaria</w:t>
            </w:r>
          </w:p>
          <w:p w:rsidR="0088048C" w:rsidRPr="00326E9B" w:rsidRDefault="0088048C" w:rsidP="0088048C">
            <w:pPr>
              <w:keepLines/>
              <w:autoSpaceDE w:val="0"/>
              <w:autoSpaceDN w:val="0"/>
              <w:spacing w:before="0" w:after="0"/>
              <w:rPr>
                <w:rFonts w:cs="Arial"/>
                <w:szCs w:val="20"/>
                <w:lang w:eastAsia="da-DK"/>
              </w:rPr>
            </w:pPr>
            <w:r w:rsidRPr="00BC3779">
              <w:rPr>
                <w:rFonts w:cs="Arial"/>
                <w:szCs w:val="20"/>
                <w:lang w:eastAsia="da-DK"/>
              </w:rPr>
              <w:t>Croatia</w:t>
            </w:r>
          </w:p>
          <w:p w:rsidR="0088048C" w:rsidRPr="00326E9B" w:rsidRDefault="0088048C" w:rsidP="0088048C">
            <w:pPr>
              <w:keepLines/>
              <w:autoSpaceDE w:val="0"/>
              <w:autoSpaceDN w:val="0"/>
              <w:spacing w:before="0" w:after="0"/>
              <w:rPr>
                <w:rFonts w:cs="Arial"/>
                <w:szCs w:val="20"/>
                <w:lang w:eastAsia="da-DK"/>
              </w:rPr>
            </w:pPr>
            <w:r w:rsidRPr="00326E9B">
              <w:rPr>
                <w:rFonts w:cs="Arial"/>
                <w:szCs w:val="20"/>
                <w:lang w:eastAsia="da-DK"/>
              </w:rPr>
              <w:t>Cyprus</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Czech Republic</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Denmark</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Estonia</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Finland</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France</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Georgia</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Germany</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Greece</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Hungary</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Iceland</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Ireland</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Italy</w:t>
            </w:r>
          </w:p>
          <w:p w:rsidR="0088048C" w:rsidRPr="00326E9B" w:rsidRDefault="0088048C" w:rsidP="0088048C">
            <w:pPr>
              <w:keepLines/>
              <w:autoSpaceDE w:val="0"/>
              <w:autoSpaceDN w:val="0"/>
              <w:spacing w:before="0" w:after="0"/>
              <w:rPr>
                <w:rFonts w:cs="Arial"/>
                <w:bCs/>
                <w:color w:val="FF0000"/>
                <w:szCs w:val="20"/>
                <w:lang w:eastAsia="da-DK"/>
              </w:rPr>
            </w:pPr>
            <w:r w:rsidRPr="00326E9B">
              <w:rPr>
                <w:rFonts w:cs="Arial"/>
                <w:bCs/>
                <w:color w:val="FF0000"/>
                <w:szCs w:val="20"/>
                <w:lang w:eastAsia="da-DK"/>
              </w:rPr>
              <w:t>Latvia</w:t>
            </w:r>
          </w:p>
          <w:p w:rsidR="0088048C" w:rsidRPr="00326E9B" w:rsidRDefault="0088048C" w:rsidP="0088048C">
            <w:pPr>
              <w:keepLines/>
              <w:autoSpaceDE w:val="0"/>
              <w:autoSpaceDN w:val="0"/>
              <w:spacing w:before="0" w:after="0"/>
              <w:rPr>
                <w:rFonts w:cs="Arial"/>
                <w:bCs/>
                <w:szCs w:val="20"/>
                <w:lang w:eastAsia="da-DK"/>
              </w:rPr>
            </w:pPr>
            <w:r w:rsidRPr="00326E9B">
              <w:rPr>
                <w:rFonts w:cs="Arial"/>
                <w:bCs/>
                <w:szCs w:val="20"/>
                <w:lang w:eastAsia="da-DK"/>
              </w:rPr>
              <w:t>Liechtenstein</w:t>
            </w:r>
          </w:p>
        </w:tc>
        <w:tc>
          <w:tcPr>
            <w:tcW w:w="3938" w:type="dxa"/>
            <w:tcBorders>
              <w:top w:val="single" w:sz="4" w:space="0" w:color="auto"/>
              <w:bottom w:val="single" w:sz="4" w:space="0" w:color="auto"/>
            </w:tcBorders>
          </w:tcPr>
          <w:p w:rsidR="0088048C" w:rsidRPr="00C7473E" w:rsidRDefault="0088048C" w:rsidP="0088048C">
            <w:pPr>
              <w:keepLines/>
              <w:autoSpaceDE w:val="0"/>
              <w:autoSpaceDN w:val="0"/>
              <w:spacing w:before="0" w:after="0"/>
              <w:rPr>
                <w:rFonts w:cs="Arial"/>
                <w:color w:val="FF0000"/>
                <w:szCs w:val="20"/>
                <w:lang w:eastAsia="da-DK"/>
              </w:rPr>
            </w:pPr>
            <w:r w:rsidRPr="00ED6DB7">
              <w:rPr>
                <w:rFonts w:cs="Arial"/>
                <w:color w:val="FF0000"/>
                <w:szCs w:val="20"/>
                <w:lang w:eastAsia="da-DK"/>
              </w:rPr>
              <w:t>Lithuania</w:t>
            </w:r>
          </w:p>
          <w:p w:rsidR="0088048C" w:rsidRPr="00935E91" w:rsidRDefault="0088048C" w:rsidP="0088048C">
            <w:pPr>
              <w:keepLines/>
              <w:autoSpaceDE w:val="0"/>
              <w:autoSpaceDN w:val="0"/>
              <w:spacing w:before="0" w:after="0"/>
              <w:rPr>
                <w:rFonts w:cs="Arial"/>
                <w:color w:val="FF0000"/>
                <w:szCs w:val="20"/>
                <w:lang w:eastAsia="da-DK"/>
              </w:rPr>
            </w:pPr>
            <w:r w:rsidRPr="006D5611">
              <w:rPr>
                <w:rFonts w:cs="Arial"/>
                <w:color w:val="FF0000"/>
                <w:szCs w:val="20"/>
                <w:lang w:eastAsia="da-DK"/>
              </w:rPr>
              <w:t>Luxembourg</w:t>
            </w:r>
          </w:p>
          <w:p w:rsidR="0088048C" w:rsidRPr="00935E91" w:rsidRDefault="0088048C" w:rsidP="0088048C">
            <w:pPr>
              <w:keepLines/>
              <w:autoSpaceDE w:val="0"/>
              <w:autoSpaceDN w:val="0"/>
              <w:spacing w:before="0" w:after="0"/>
              <w:rPr>
                <w:rFonts w:cs="Arial"/>
                <w:color w:val="FF0000"/>
                <w:szCs w:val="20"/>
                <w:lang w:eastAsia="da-DK"/>
              </w:rPr>
            </w:pPr>
            <w:r w:rsidRPr="00935E91">
              <w:rPr>
                <w:rFonts w:cs="Arial"/>
                <w:color w:val="FF0000"/>
                <w:szCs w:val="20"/>
                <w:lang w:eastAsia="da-DK"/>
              </w:rPr>
              <w:t>Former Yugoslavian Republic of Macedonia (FYROM)</w:t>
            </w:r>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Malta</w:t>
            </w:r>
          </w:p>
          <w:p w:rsidR="0088048C" w:rsidRPr="00230DDC" w:rsidRDefault="0088048C" w:rsidP="0088048C">
            <w:pPr>
              <w:keepLines/>
              <w:autoSpaceDE w:val="0"/>
              <w:autoSpaceDN w:val="0"/>
              <w:spacing w:before="0" w:after="0"/>
              <w:rPr>
                <w:rFonts w:cs="Arial"/>
                <w:szCs w:val="20"/>
                <w:lang w:val="es-ES_tradnl" w:eastAsia="da-DK"/>
              </w:rPr>
            </w:pPr>
            <w:proofErr w:type="spellStart"/>
            <w:r w:rsidRPr="00230DDC">
              <w:rPr>
                <w:rFonts w:cs="Arial"/>
                <w:szCs w:val="20"/>
                <w:lang w:val="es-ES_tradnl" w:eastAsia="da-DK"/>
              </w:rPr>
              <w:t>Monaco</w:t>
            </w:r>
            <w:proofErr w:type="spellEnd"/>
          </w:p>
          <w:p w:rsidR="00284ED0" w:rsidRPr="00230DDC" w:rsidRDefault="00284ED0" w:rsidP="00284ED0">
            <w:pPr>
              <w:keepLines/>
              <w:autoSpaceDE w:val="0"/>
              <w:autoSpaceDN w:val="0"/>
              <w:spacing w:before="0" w:after="0"/>
              <w:rPr>
                <w:rFonts w:cs="Arial"/>
                <w:szCs w:val="20"/>
                <w:lang w:val="es-ES_tradnl" w:eastAsia="da-DK"/>
              </w:rPr>
            </w:pPr>
            <w:proofErr w:type="spellStart"/>
            <w:r w:rsidRPr="00230DDC">
              <w:rPr>
                <w:rFonts w:cs="Arial"/>
                <w:szCs w:val="20"/>
                <w:lang w:val="es-ES_tradnl" w:eastAsia="da-DK"/>
              </w:rPr>
              <w:t>Moldova</w:t>
            </w:r>
            <w:proofErr w:type="spellEnd"/>
          </w:p>
          <w:p w:rsidR="0088048C" w:rsidRPr="00230DDC" w:rsidRDefault="0088048C" w:rsidP="0088048C">
            <w:pPr>
              <w:keepLines/>
              <w:autoSpaceDE w:val="0"/>
              <w:autoSpaceDN w:val="0"/>
              <w:spacing w:before="0" w:after="0"/>
              <w:rPr>
                <w:rFonts w:cs="Arial"/>
                <w:color w:val="FF0000"/>
                <w:szCs w:val="20"/>
                <w:lang w:val="es-ES_tradnl" w:eastAsia="da-DK"/>
              </w:rPr>
            </w:pPr>
            <w:r w:rsidRPr="00230DDC">
              <w:rPr>
                <w:rFonts w:cs="Arial"/>
                <w:color w:val="FF0000"/>
                <w:szCs w:val="20"/>
                <w:lang w:val="es-ES_tradnl" w:eastAsia="da-DK"/>
              </w:rPr>
              <w:t>Montenegro</w:t>
            </w:r>
          </w:p>
          <w:p w:rsidR="0088048C" w:rsidRPr="00230DDC" w:rsidRDefault="0088048C" w:rsidP="0088048C">
            <w:pPr>
              <w:keepLines/>
              <w:autoSpaceDE w:val="0"/>
              <w:autoSpaceDN w:val="0"/>
              <w:spacing w:before="0" w:after="0"/>
              <w:rPr>
                <w:rFonts w:cs="Arial"/>
                <w:color w:val="FF0000"/>
                <w:szCs w:val="20"/>
                <w:lang w:val="es-ES_tradnl" w:eastAsia="da-DK"/>
              </w:rPr>
            </w:pPr>
            <w:proofErr w:type="spellStart"/>
            <w:r w:rsidRPr="00230DDC">
              <w:rPr>
                <w:rFonts w:cs="Arial"/>
                <w:color w:val="FF0000"/>
                <w:szCs w:val="20"/>
                <w:lang w:val="es-ES_tradnl" w:eastAsia="da-DK"/>
              </w:rPr>
              <w:t>Norway</w:t>
            </w:r>
            <w:proofErr w:type="spellEnd"/>
          </w:p>
          <w:p w:rsidR="0088048C" w:rsidRPr="00230DDC" w:rsidRDefault="0088048C" w:rsidP="0088048C">
            <w:pPr>
              <w:keepLines/>
              <w:autoSpaceDE w:val="0"/>
              <w:autoSpaceDN w:val="0"/>
              <w:spacing w:before="0" w:after="0"/>
              <w:rPr>
                <w:rFonts w:cs="Arial"/>
                <w:szCs w:val="20"/>
                <w:lang w:val="es-ES_tradnl" w:eastAsia="da-DK"/>
              </w:rPr>
            </w:pPr>
            <w:proofErr w:type="spellStart"/>
            <w:r w:rsidRPr="00230DDC">
              <w:rPr>
                <w:rFonts w:cs="Arial"/>
                <w:szCs w:val="20"/>
                <w:lang w:val="es-ES_tradnl" w:eastAsia="da-DK"/>
              </w:rPr>
              <w:t>Poland</w:t>
            </w:r>
            <w:proofErr w:type="spellEnd"/>
          </w:p>
          <w:p w:rsidR="0088048C" w:rsidRPr="00326E9B" w:rsidRDefault="0088048C" w:rsidP="0088048C">
            <w:pPr>
              <w:keepLines/>
              <w:autoSpaceDE w:val="0"/>
              <w:autoSpaceDN w:val="0"/>
              <w:spacing w:before="0" w:after="0"/>
              <w:rPr>
                <w:rFonts w:cs="Arial"/>
                <w:color w:val="FF0000"/>
                <w:szCs w:val="20"/>
                <w:lang w:eastAsia="da-DK"/>
              </w:rPr>
            </w:pPr>
            <w:r w:rsidRPr="00BC3779">
              <w:rPr>
                <w:rFonts w:cs="Arial"/>
                <w:color w:val="FF0000"/>
                <w:szCs w:val="20"/>
                <w:lang w:eastAsia="da-DK"/>
              </w:rPr>
              <w:t>Portugal</w:t>
            </w:r>
          </w:p>
          <w:p w:rsidR="0088048C" w:rsidRPr="00326E9B" w:rsidRDefault="0088048C" w:rsidP="0088048C">
            <w:pPr>
              <w:keepLines/>
              <w:autoSpaceDE w:val="0"/>
              <w:autoSpaceDN w:val="0"/>
              <w:spacing w:before="0" w:after="0"/>
              <w:rPr>
                <w:rFonts w:cs="Arial"/>
                <w:szCs w:val="20"/>
                <w:lang w:eastAsia="da-DK"/>
              </w:rPr>
            </w:pPr>
            <w:r w:rsidRPr="00326E9B">
              <w:rPr>
                <w:rFonts w:cs="Arial"/>
                <w:szCs w:val="20"/>
                <w:lang w:eastAsia="da-DK"/>
              </w:rPr>
              <w:t>Romania</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Russian Federation</w:t>
            </w:r>
          </w:p>
          <w:p w:rsidR="0088048C" w:rsidRPr="00326E9B" w:rsidRDefault="0088048C" w:rsidP="0088048C">
            <w:pPr>
              <w:keepLines/>
              <w:autoSpaceDE w:val="0"/>
              <w:autoSpaceDN w:val="0"/>
              <w:spacing w:before="0" w:after="0"/>
              <w:rPr>
                <w:rFonts w:cs="Arial"/>
                <w:szCs w:val="20"/>
                <w:lang w:eastAsia="da-DK"/>
              </w:rPr>
            </w:pPr>
            <w:r w:rsidRPr="00326E9B">
              <w:rPr>
                <w:rFonts w:cs="Arial"/>
                <w:szCs w:val="20"/>
                <w:lang w:eastAsia="da-DK"/>
              </w:rPr>
              <w:t>San Marino</w:t>
            </w:r>
          </w:p>
          <w:p w:rsidR="0088048C" w:rsidRPr="00326E9B" w:rsidRDefault="0088048C" w:rsidP="0088048C">
            <w:pPr>
              <w:keepLines/>
              <w:autoSpaceDE w:val="0"/>
              <w:autoSpaceDN w:val="0"/>
              <w:spacing w:before="0" w:after="0"/>
              <w:rPr>
                <w:rFonts w:cs="Arial"/>
                <w:szCs w:val="20"/>
                <w:lang w:eastAsia="da-DK"/>
              </w:rPr>
            </w:pPr>
            <w:r w:rsidRPr="00326E9B">
              <w:rPr>
                <w:rFonts w:cs="Arial"/>
                <w:szCs w:val="20"/>
                <w:lang w:eastAsia="da-DK"/>
              </w:rPr>
              <w:t>Serbia</w:t>
            </w:r>
          </w:p>
          <w:p w:rsidR="0088048C" w:rsidRPr="00326E9B" w:rsidRDefault="0088048C" w:rsidP="0088048C">
            <w:pPr>
              <w:keepLines/>
              <w:tabs>
                <w:tab w:val="left" w:pos="2220"/>
              </w:tabs>
              <w:autoSpaceDE w:val="0"/>
              <w:autoSpaceDN w:val="0"/>
              <w:spacing w:before="0" w:after="0"/>
              <w:rPr>
                <w:rFonts w:cs="Arial"/>
                <w:color w:val="FF0000"/>
                <w:szCs w:val="20"/>
                <w:lang w:eastAsia="da-DK"/>
              </w:rPr>
            </w:pPr>
            <w:r w:rsidRPr="00326E9B">
              <w:rPr>
                <w:rFonts w:cs="Arial"/>
                <w:color w:val="FF0000"/>
                <w:szCs w:val="20"/>
                <w:lang w:eastAsia="da-DK"/>
              </w:rPr>
              <w:t>Slovak Republic</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Slovenia</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Spain</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Sweden</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Switzerland</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The Netherlands</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The United Kingdom</w:t>
            </w:r>
          </w:p>
          <w:p w:rsidR="0088048C" w:rsidRPr="00326E9B" w:rsidRDefault="0088048C" w:rsidP="0088048C">
            <w:pPr>
              <w:keepLines/>
              <w:autoSpaceDE w:val="0"/>
              <w:autoSpaceDN w:val="0"/>
              <w:spacing w:before="0" w:after="0"/>
              <w:rPr>
                <w:rFonts w:cs="Arial"/>
                <w:color w:val="FF0000"/>
                <w:szCs w:val="20"/>
                <w:lang w:eastAsia="da-DK"/>
              </w:rPr>
            </w:pPr>
            <w:r w:rsidRPr="00326E9B">
              <w:rPr>
                <w:rFonts w:cs="Arial"/>
                <w:color w:val="FF0000"/>
                <w:szCs w:val="20"/>
                <w:lang w:eastAsia="da-DK"/>
              </w:rPr>
              <w:t>Turkey</w:t>
            </w:r>
          </w:p>
          <w:p w:rsidR="0088048C" w:rsidRPr="00326E9B" w:rsidRDefault="0088048C" w:rsidP="0088048C">
            <w:pPr>
              <w:keepLines/>
              <w:autoSpaceDE w:val="0"/>
              <w:autoSpaceDN w:val="0"/>
              <w:spacing w:before="0" w:after="0"/>
              <w:rPr>
                <w:rFonts w:cs="Arial"/>
                <w:bCs/>
                <w:color w:val="FF0000"/>
                <w:szCs w:val="20"/>
                <w:lang w:eastAsia="da-DK"/>
              </w:rPr>
            </w:pPr>
            <w:r w:rsidRPr="00326E9B">
              <w:rPr>
                <w:rFonts w:cs="Arial"/>
                <w:bCs/>
                <w:color w:val="FF0000"/>
                <w:szCs w:val="20"/>
                <w:lang w:eastAsia="da-DK"/>
              </w:rPr>
              <w:t>Ukraine</w:t>
            </w:r>
          </w:p>
          <w:p w:rsidR="0088048C" w:rsidRPr="00326E9B" w:rsidRDefault="0088048C" w:rsidP="0088048C">
            <w:pPr>
              <w:keepLines/>
              <w:autoSpaceDE w:val="0"/>
              <w:autoSpaceDN w:val="0"/>
              <w:spacing w:before="0" w:after="0"/>
              <w:rPr>
                <w:rFonts w:cs="Arial"/>
                <w:bCs/>
                <w:szCs w:val="20"/>
                <w:lang w:eastAsia="da-DK"/>
              </w:rPr>
            </w:pPr>
            <w:r w:rsidRPr="00326E9B">
              <w:rPr>
                <w:rFonts w:cs="Arial"/>
                <w:bCs/>
                <w:szCs w:val="20"/>
                <w:lang w:eastAsia="da-DK"/>
              </w:rPr>
              <w:t>Vatican City</w:t>
            </w:r>
          </w:p>
        </w:tc>
      </w:tr>
    </w:tbl>
    <w:p w:rsidR="003F1701" w:rsidRPr="00BC3779" w:rsidRDefault="007F3803" w:rsidP="0088048C">
      <w:pPr>
        <w:spacing w:after="200" w:line="276" w:lineRule="auto"/>
        <w:jc w:val="left"/>
        <w:rPr>
          <w:rFonts w:cs="Arial"/>
          <w:b/>
          <w:szCs w:val="20"/>
        </w:rPr>
      </w:pPr>
      <w:r w:rsidRPr="00BC3779">
        <w:rPr>
          <w:rFonts w:cs="Arial"/>
          <w:b/>
          <w:szCs w:val="20"/>
        </w:rPr>
        <w:t>3</w:t>
      </w:r>
      <w:r w:rsidR="001B0D52" w:rsidRPr="00BC3779">
        <w:rPr>
          <w:rFonts w:cs="Arial"/>
          <w:b/>
          <w:szCs w:val="20"/>
        </w:rPr>
        <w:t>7</w:t>
      </w:r>
      <w:r w:rsidRPr="00BC3779">
        <w:rPr>
          <w:rFonts w:cs="Arial"/>
          <w:b/>
          <w:szCs w:val="20"/>
        </w:rPr>
        <w:t xml:space="preserve"> </w:t>
      </w:r>
      <w:r w:rsidR="0088048C" w:rsidRPr="00BC3779">
        <w:rPr>
          <w:rFonts w:cs="Arial"/>
          <w:b/>
          <w:szCs w:val="20"/>
        </w:rPr>
        <w:t xml:space="preserve">CEPT administrations provided a response. </w:t>
      </w:r>
    </w:p>
    <w:p w:rsidR="001B0D52" w:rsidRPr="006D6A5E" w:rsidRDefault="001B0D52" w:rsidP="001B0D52">
      <w:pPr>
        <w:spacing w:before="180" w:after="180"/>
        <w:jc w:val="left"/>
        <w:rPr>
          <w:rFonts w:eastAsia="Times New Roman" w:cs="Arial"/>
          <w:sz w:val="24"/>
          <w:szCs w:val="24"/>
          <w:bdr w:val="nil"/>
          <w:lang w:eastAsia="da-DK"/>
        </w:rPr>
      </w:pPr>
      <w:r w:rsidRPr="006D6A5E">
        <w:rPr>
          <w:rFonts w:eastAsia="Verdana" w:cs="Arial"/>
          <w:sz w:val="18"/>
          <w:szCs w:val="18"/>
          <w:bdr w:val="nil"/>
          <w:lang w:eastAsia="da-DK"/>
        </w:rPr>
        <w:t xml:space="preserve">FM57 and SE45 are in the process of performing a study in response to the Mandate to CEPT/ECC and collecting valid information regarding fixed service and other incumbent uses for possible co-existence with WAS/RLAN in the frequency band 5 925-6 425 </w:t>
      </w:r>
      <w:proofErr w:type="spellStart"/>
      <w:r w:rsidRPr="006D6A5E">
        <w:rPr>
          <w:rFonts w:eastAsia="Verdana" w:cs="Arial"/>
          <w:sz w:val="18"/>
          <w:szCs w:val="18"/>
          <w:bdr w:val="nil"/>
          <w:lang w:eastAsia="da-DK"/>
        </w:rPr>
        <w:t>MHz.</w:t>
      </w:r>
      <w:proofErr w:type="spellEnd"/>
    </w:p>
    <w:p w:rsidR="001B0D52" w:rsidRPr="006D6A5E" w:rsidRDefault="001B0D52" w:rsidP="001B0D52">
      <w:pPr>
        <w:spacing w:before="180" w:after="180"/>
        <w:jc w:val="left"/>
        <w:rPr>
          <w:rFonts w:eastAsia="Times New Roman" w:cs="Arial"/>
          <w:sz w:val="24"/>
          <w:szCs w:val="24"/>
          <w:bdr w:val="nil"/>
          <w:lang w:eastAsia="da-DK"/>
        </w:rPr>
      </w:pPr>
      <w:r w:rsidRPr="006D6A5E">
        <w:rPr>
          <w:rFonts w:eastAsia="Verdana" w:cs="Arial"/>
          <w:sz w:val="18"/>
          <w:szCs w:val="18"/>
          <w:bdr w:val="nil"/>
          <w:lang w:eastAsia="da-DK"/>
        </w:rPr>
        <w:t xml:space="preserve">This information should be seen as complementary to the </w:t>
      </w:r>
      <w:hyperlink r:id="rId10" w:history="1">
        <w:r w:rsidRPr="006D6A5E">
          <w:rPr>
            <w:rFonts w:eastAsia="Verdana" w:cs="Arial"/>
            <w:color w:val="0000EE"/>
            <w:sz w:val="18"/>
            <w:szCs w:val="18"/>
            <w:u w:val="single"/>
            <w:bdr w:val="nil"/>
            <w:lang w:eastAsia="da-DK"/>
          </w:rPr>
          <w:t>latest update of ECC Report 173</w:t>
        </w:r>
      </w:hyperlink>
      <w:r w:rsidRPr="006D6A5E">
        <w:rPr>
          <w:rFonts w:eastAsia="Verdana" w:cs="Arial"/>
          <w:sz w:val="18"/>
          <w:szCs w:val="18"/>
          <w:bdr w:val="nil"/>
          <w:lang w:eastAsia="da-DK"/>
        </w:rPr>
        <w:t>. In this context WG FM consider that it would be useful for both industry and administrations to have a detailed and updated situation of the fixed service, and other incumbent uses, in Europe. This is of particular importance and timely taking into account new technology developments and requirements for these uses so that a complete picture is available of current and future spectrum use and requirements of the fixed service and other incumbent uses.</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b/>
          <w:bCs/>
          <w:sz w:val="18"/>
          <w:szCs w:val="18"/>
          <w:bdr w:val="nil"/>
          <w:lang w:eastAsia="da-DK"/>
        </w:rPr>
        <w:t>Main tasks of the WAS/RLAN 5 925-6 425 MHz study</w:t>
      </w:r>
    </w:p>
    <w:p w:rsidR="001B0D52" w:rsidRPr="00230DDC" w:rsidRDefault="001B0D52" w:rsidP="001B0D52">
      <w:pPr>
        <w:spacing w:before="180" w:after="180"/>
        <w:jc w:val="left"/>
        <w:rPr>
          <w:rFonts w:eastAsia="Verdana" w:cs="Arial"/>
          <w:sz w:val="18"/>
          <w:szCs w:val="18"/>
          <w:bdr w:val="nil"/>
          <w:lang w:eastAsia="da-DK"/>
        </w:rPr>
      </w:pPr>
      <w:r w:rsidRPr="00230DDC">
        <w:rPr>
          <w:rFonts w:eastAsia="Verdana" w:cs="Arial"/>
          <w:sz w:val="18"/>
          <w:szCs w:val="18"/>
          <w:bdr w:val="nil"/>
          <w:lang w:eastAsia="da-DK"/>
        </w:rPr>
        <w:t>The tasks of the Mandate to CEPT/ECC are:</w:t>
      </w:r>
    </w:p>
    <w:p w:rsidR="001B0D52" w:rsidRPr="00230DDC" w:rsidRDefault="001B0D52" w:rsidP="001B0D52">
      <w:pPr>
        <w:tabs>
          <w:tab w:val="left" w:pos="4185"/>
        </w:tabs>
        <w:spacing w:before="180" w:after="180"/>
        <w:jc w:val="left"/>
        <w:rPr>
          <w:rFonts w:eastAsia="Times New Roman" w:cs="Arial"/>
          <w:sz w:val="24"/>
          <w:szCs w:val="24"/>
          <w:bdr w:val="nil"/>
          <w:lang w:eastAsia="da-DK"/>
        </w:rPr>
      </w:pPr>
      <w:r w:rsidRPr="00230DDC">
        <w:rPr>
          <w:rFonts w:eastAsia="Times New Roman" w:cs="Arial"/>
          <w:sz w:val="24"/>
          <w:szCs w:val="24"/>
          <w:bdr w:val="nil"/>
          <w:lang w:eastAsia="da-DK"/>
        </w:rPr>
        <w:tab/>
      </w:r>
      <w:r w:rsidRPr="00230DDC">
        <w:rPr>
          <w:rFonts w:eastAsia="Times New Roman" w:cs="Arial"/>
          <w:sz w:val="24"/>
          <w:szCs w:val="24"/>
          <w:bdr w:val="nil"/>
          <w:lang w:eastAsia="da-DK"/>
        </w:rPr>
        <w:br/>
      </w:r>
      <w:r w:rsidRPr="00230DDC">
        <w:rPr>
          <w:rFonts w:eastAsia="Verdana" w:cs="Arial"/>
          <w:b/>
          <w:bCs/>
          <w:sz w:val="18"/>
          <w:szCs w:val="18"/>
          <w:bdr w:val="nil"/>
          <w:lang w:eastAsia="da-DK"/>
        </w:rPr>
        <w:t>Task 1 – Assessment and study of compatibility and coexistence scenarios in the band 5 925-6 425 MHz</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sz w:val="18"/>
          <w:szCs w:val="18"/>
          <w:bdr w:val="nil"/>
          <w:lang w:eastAsia="da-DK"/>
        </w:rPr>
        <w:t>To study and assess compatibility and coexistence scenarios for WAS/RLANs in the 5 925-6 425 MHz band and identify relevant parameters and coexistence conditions to be implemented in the regulatory framework in order to enable coexistence between existing usages and WAS/RLAN systems without constraining incumbent uses in various Member States in and adjacent to the band 5 925-6 425 MHz including at the outer EU border.</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sz w:val="18"/>
          <w:szCs w:val="18"/>
          <w:bdr w:val="nil"/>
          <w:lang w:eastAsia="da-DK"/>
        </w:rPr>
        <w:t>For each compatibility/coexistence scenario, the risk of interference, the deployment assumptions of all applications, the geographical extent of usage and consequential restrictions in WAS/RLAN deployment should be identified as well as requirements for implementing such scenarios, e.g. in terms of harmonised technical parameters or in terms of other regulatory and operational aspects which support the implementation of a coexistence framework.</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b/>
          <w:bCs/>
          <w:sz w:val="18"/>
          <w:szCs w:val="18"/>
          <w:bdr w:val="nil"/>
          <w:lang w:eastAsia="da-DK"/>
        </w:rPr>
        <w:t>Task 2 – Development of harmonised technical conditions</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sz w:val="18"/>
          <w:szCs w:val="18"/>
          <w:bdr w:val="nil"/>
          <w:lang w:eastAsia="da-DK"/>
        </w:rPr>
        <w:lastRenderedPageBreak/>
        <w:t>Taking into account the results of task 1, for the band 5 925-6 425 MHz develop appropriate mitigation techniques and/or operational compatibility/coexistence conditions. In the light of experience, these conditions should in particular identify the harmonised technical parameters that would be needed to ensure in the internal market consistent harmonised conditions for WAS/RLANs operating on a coexistence basis, if technically feasible. This should be developed in close cooperation with ETSI which is working on harmonised standards which include operational coexistence conditions for WAS/RLANs with other systems in the band and in adjacent bands.</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sz w:val="18"/>
          <w:szCs w:val="18"/>
          <w:bdr w:val="nil"/>
          <w:lang w:eastAsia="da-DK"/>
        </w:rPr>
        <w:t>It is assumed in the Mandate that WAS/RLANs could operate on the basis of a general authorisation only. With a view to achieving a scope for worldwide harmonisation of additional spectrum for WAS/RLAN that would strengthen the economies of scale for manufacturers of RLAN equipment and thereby benefit all end-users, the work carried out under this task should take into account developments in other ITU Regions, e.g. through the organisation of a workshop.</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b/>
          <w:bCs/>
          <w:sz w:val="18"/>
          <w:szCs w:val="18"/>
          <w:bdr w:val="nil"/>
          <w:lang w:eastAsia="da-DK"/>
        </w:rPr>
        <w:t>Purpose of the questionnaire</w:t>
      </w:r>
    </w:p>
    <w:p w:rsidR="001B0D52" w:rsidRPr="00230DDC" w:rsidRDefault="001B0D52" w:rsidP="001B0D52">
      <w:pPr>
        <w:spacing w:before="180" w:after="180"/>
        <w:jc w:val="left"/>
        <w:rPr>
          <w:rFonts w:eastAsia="Times New Roman" w:cs="Arial"/>
          <w:sz w:val="24"/>
          <w:szCs w:val="24"/>
          <w:bdr w:val="nil"/>
          <w:lang w:eastAsia="da-DK"/>
        </w:rPr>
      </w:pPr>
      <w:r w:rsidRPr="00230DDC">
        <w:rPr>
          <w:rFonts w:eastAsia="Verdana" w:cs="Arial"/>
          <w:sz w:val="18"/>
          <w:szCs w:val="18"/>
          <w:bdr w:val="nil"/>
          <w:lang w:eastAsia="da-DK"/>
        </w:rPr>
        <w:t>The questionnaire consisted of eight questions and the purpose is to collect information on the actual utilisation of the frequency band 5925-6425 MHz, where the fixed service is currently deployed and to gain an overview of the likely spectrum requirements in the future, as well as indication of the technology trends. This information will be used to analyse the current situation with respect to the development of the fixed service, and to allow a better vision of future deployment trends in order to study possible co-existence with WAS/RLAN.</w:t>
      </w:r>
    </w:p>
    <w:p w:rsidR="001B0D52" w:rsidRPr="00BC3779" w:rsidRDefault="001B0D52" w:rsidP="001B0D52">
      <w:pPr>
        <w:spacing w:after="200" w:line="276" w:lineRule="auto"/>
        <w:jc w:val="left"/>
        <w:rPr>
          <w:rFonts w:cs="Arial"/>
          <w:szCs w:val="20"/>
        </w:rPr>
      </w:pPr>
      <w:r w:rsidRPr="00230DDC">
        <w:rPr>
          <w:rFonts w:eastAsia="Verdana" w:cs="Arial"/>
          <w:sz w:val="18"/>
          <w:szCs w:val="18"/>
          <w:bdr w:val="nil"/>
          <w:lang w:eastAsia="da-DK"/>
        </w:rPr>
        <w:t>It can be noted that fixed service characteristics and typical system parameters for sharing and co-existence studies can be found in Recommendation ITU-R F.758-6 and this questionnaire could be a measure to capture any other characteristics and parameters used within CEPT that are not covered by the range as stated in this recommendation.</w:t>
      </w:r>
    </w:p>
    <w:p w:rsidR="001E38FB" w:rsidRPr="00326E9B" w:rsidRDefault="001E38FB">
      <w:pPr>
        <w:rPr>
          <w:rStyle w:val="ECCParagraph"/>
          <w:rFonts w:cs="Arial"/>
          <w:szCs w:val="20"/>
        </w:rPr>
      </w:pPr>
      <w:r w:rsidRPr="00326E9B">
        <w:rPr>
          <w:rStyle w:val="ECCParagraph"/>
          <w:rFonts w:cs="Arial"/>
          <w:szCs w:val="20"/>
        </w:rPr>
        <w:br w:type="page"/>
      </w:r>
    </w:p>
    <w:p w:rsidR="001E38FB" w:rsidRPr="00BC3779" w:rsidRDefault="001E38FB" w:rsidP="001E38FB">
      <w:pPr>
        <w:pStyle w:val="ListParagraph"/>
        <w:numPr>
          <w:ilvl w:val="0"/>
          <w:numId w:val="15"/>
        </w:numPr>
        <w:spacing w:before="0" w:after="120" w:line="276" w:lineRule="auto"/>
        <w:jc w:val="left"/>
        <w:rPr>
          <w:rFonts w:cs="Arial"/>
          <w:b/>
          <w:szCs w:val="20"/>
        </w:rPr>
        <w:sectPr w:rsidR="001E38FB" w:rsidRPr="00BC3779" w:rsidSect="00F043BF">
          <w:headerReference w:type="even" r:id="rId11"/>
          <w:footerReference w:type="default" r:id="rId12"/>
          <w:footerReference w:type="first" r:id="rId13"/>
          <w:pgSz w:w="11907" w:h="16840" w:code="9"/>
          <w:pgMar w:top="1418" w:right="992" w:bottom="1134" w:left="1134" w:header="964" w:footer="964" w:gutter="0"/>
          <w:cols w:space="720"/>
          <w:titlePg/>
        </w:sectPr>
      </w:pPr>
    </w:p>
    <w:p w:rsidR="001B0D52" w:rsidRDefault="001B0D52" w:rsidP="001E38FB">
      <w:pPr>
        <w:spacing w:line="276" w:lineRule="auto"/>
        <w:jc w:val="left"/>
        <w:rPr>
          <w:rFonts w:cs="Arial"/>
          <w:b/>
          <w:szCs w:val="20"/>
        </w:rPr>
      </w:pPr>
      <w:r w:rsidRPr="00BC3779">
        <w:rPr>
          <w:rFonts w:cs="Arial"/>
          <w:b/>
          <w:szCs w:val="20"/>
        </w:rPr>
        <w:lastRenderedPageBreak/>
        <w:t xml:space="preserve">Question 1: The total number of links in the </w:t>
      </w:r>
      <w:r w:rsidR="00326E9B">
        <w:rPr>
          <w:rFonts w:cs="Arial"/>
          <w:b/>
          <w:szCs w:val="20"/>
        </w:rPr>
        <w:t>f</w:t>
      </w:r>
      <w:r w:rsidRPr="00326E9B">
        <w:rPr>
          <w:rFonts w:cs="Arial"/>
          <w:b/>
          <w:szCs w:val="20"/>
        </w:rPr>
        <w:t xml:space="preserve">requency range 5925-6425 MHz?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8"/>
        <w:gridCol w:w="4046"/>
      </w:tblGrid>
      <w:tr w:rsidR="00326E9B" w:rsidTr="00ED6DB7">
        <w:tc>
          <w:tcPr>
            <w:tcW w:w="10458" w:type="dxa"/>
          </w:tcPr>
          <w:p w:rsidR="00326E9B" w:rsidRDefault="001D5DF4" w:rsidP="001E38FB">
            <w:pPr>
              <w:spacing w:line="276" w:lineRule="auto"/>
              <w:jc w:val="left"/>
              <w:rPr>
                <w:rFonts w:cs="Arial"/>
                <w:b/>
                <w:szCs w:val="20"/>
              </w:rPr>
            </w:pPr>
            <w:r>
              <w:rPr>
                <w:rFonts w:cs="Arial"/>
                <w:b/>
                <w:noProof/>
                <w:szCs w:val="20"/>
                <w:lang w:val="en-US"/>
              </w:rPr>
              <w:drawing>
                <wp:inline distT="0" distB="0" distL="0" distR="0" wp14:anchorId="26C25D40">
                  <wp:extent cx="6438900" cy="52324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44156" cy="5236671"/>
                          </a:xfrm>
                          <a:prstGeom prst="rect">
                            <a:avLst/>
                          </a:prstGeom>
                          <a:noFill/>
                        </pic:spPr>
                      </pic:pic>
                    </a:graphicData>
                  </a:graphic>
                </wp:inline>
              </w:drawing>
            </w:r>
          </w:p>
          <w:p w:rsidR="00EB137E" w:rsidRDefault="00EB137E" w:rsidP="001E38FB">
            <w:pPr>
              <w:spacing w:line="276" w:lineRule="auto"/>
              <w:jc w:val="left"/>
              <w:rPr>
                <w:rFonts w:cs="Arial"/>
                <w:b/>
                <w:szCs w:val="20"/>
              </w:rPr>
            </w:pPr>
          </w:p>
        </w:tc>
        <w:tc>
          <w:tcPr>
            <w:tcW w:w="4046" w:type="dxa"/>
          </w:tcPr>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1530"/>
            </w:tblGrid>
            <w:tr w:rsidR="006B129F" w:rsidRPr="006B129F" w:rsidTr="006D6A5E">
              <w:trPr>
                <w:cantSplit/>
                <w:trHeight w:val="20"/>
                <w:jc w:val="right"/>
              </w:trPr>
              <w:tc>
                <w:tcPr>
                  <w:tcW w:w="2317" w:type="dxa"/>
                  <w:shd w:val="clear" w:color="auto" w:fill="FF0000"/>
                  <w:vAlign w:val="center"/>
                </w:tcPr>
                <w:p w:rsidR="006B129F" w:rsidRPr="006D6A5E" w:rsidRDefault="006B129F" w:rsidP="006B129F">
                  <w:pPr>
                    <w:widowControl w:val="0"/>
                    <w:spacing w:before="100" w:beforeAutospacing="1" w:after="100" w:afterAutospacing="1"/>
                    <w:contextualSpacing/>
                    <w:jc w:val="left"/>
                    <w:rPr>
                      <w:rFonts w:ascii="Calibri" w:eastAsia="Times New Roman" w:hAnsi="Calibri" w:cs="Calibri"/>
                      <w:b/>
                      <w:color w:val="FFFFFF" w:themeColor="background1"/>
                      <w:sz w:val="18"/>
                      <w:szCs w:val="18"/>
                      <w:lang w:val="en-US"/>
                    </w:rPr>
                  </w:pPr>
                  <w:r w:rsidRPr="006D6A5E">
                    <w:rPr>
                      <w:rFonts w:ascii="Calibri" w:eastAsia="Times New Roman" w:hAnsi="Calibri" w:cs="Calibri"/>
                      <w:b/>
                      <w:color w:val="FFFFFF" w:themeColor="background1"/>
                      <w:sz w:val="18"/>
                      <w:szCs w:val="18"/>
                      <w:lang w:val="en-US"/>
                    </w:rPr>
                    <w:t>Respondent administration</w:t>
                  </w:r>
                </w:p>
              </w:tc>
              <w:tc>
                <w:tcPr>
                  <w:tcW w:w="1530" w:type="dxa"/>
                  <w:shd w:val="clear" w:color="auto" w:fill="FF0000"/>
                  <w:noWrap/>
                  <w:vAlign w:val="center"/>
                </w:tcPr>
                <w:p w:rsidR="006B129F" w:rsidRPr="006D6A5E" w:rsidRDefault="006B129F" w:rsidP="006B129F">
                  <w:pPr>
                    <w:widowControl w:val="0"/>
                    <w:spacing w:before="100" w:beforeAutospacing="1" w:after="100" w:afterAutospacing="1"/>
                    <w:contextualSpacing/>
                    <w:jc w:val="center"/>
                    <w:rPr>
                      <w:rFonts w:ascii="Calibri" w:eastAsia="Times New Roman" w:hAnsi="Calibri" w:cs="Calibri"/>
                      <w:b/>
                      <w:color w:val="FFFFFF" w:themeColor="background1"/>
                      <w:sz w:val="18"/>
                      <w:szCs w:val="18"/>
                      <w:lang w:val="en-US"/>
                    </w:rPr>
                  </w:pPr>
                  <w:r w:rsidRPr="006D6A5E">
                    <w:rPr>
                      <w:rFonts w:ascii="Calibri" w:eastAsia="Times New Roman" w:hAnsi="Calibri" w:cs="Calibri"/>
                      <w:b/>
                      <w:color w:val="FFFFFF" w:themeColor="background1"/>
                      <w:sz w:val="18"/>
                      <w:szCs w:val="18"/>
                      <w:lang w:val="en-US"/>
                    </w:rPr>
                    <w:t>Number of links</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Albania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139</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Austria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229</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Azerbaijan</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74</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Belarus</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Belgium</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226</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Bosnia and Herzegovina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46</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Bulgaria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231</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Czech Republic</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159</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Denmark</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Estonia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Finland</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64</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France</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1688</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Georgia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470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Germany</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784</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Greece</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323</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Hungary</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116</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Iceland</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Ireland</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77</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Italy</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1162</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Latvia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22</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Lithuania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13</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Luxembourg</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FYROM</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41</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Malta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Montenegro</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132</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Netherlands</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13</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Norway</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811</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Portugal</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Russian Federation</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2363</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Slovakia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70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Slovenia</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10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Spain</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850</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Sweden</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466</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Switzerland</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53</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Turkey</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668</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Ukraine</w:t>
                  </w:r>
                </w:p>
              </w:tc>
              <w:tc>
                <w:tcPr>
                  <w:tcW w:w="1530" w:type="dxa"/>
                  <w:shd w:val="clear" w:color="auto" w:fill="auto"/>
                  <w:noWrap/>
                  <w:vAlign w:val="center"/>
                  <w:hideMark/>
                </w:tcPr>
                <w:p w:rsidR="006B129F" w:rsidRPr="006B129F" w:rsidRDefault="006B129F"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sidRPr="006B129F">
                    <w:rPr>
                      <w:rFonts w:ascii="Calibri" w:eastAsia="Times New Roman" w:hAnsi="Calibri" w:cs="Calibri"/>
                      <w:color w:val="000000"/>
                      <w:sz w:val="18"/>
                      <w:szCs w:val="18"/>
                      <w:lang w:val="en-US"/>
                    </w:rPr>
                    <w:t>57</w:t>
                  </w:r>
                </w:p>
              </w:tc>
            </w:tr>
            <w:tr w:rsidR="006B129F" w:rsidRPr="006B129F" w:rsidTr="00ED6DB7">
              <w:trPr>
                <w:cantSplit/>
                <w:trHeight w:val="20"/>
                <w:jc w:val="right"/>
              </w:trPr>
              <w:tc>
                <w:tcPr>
                  <w:tcW w:w="2317" w:type="dxa"/>
                  <w:shd w:val="clear" w:color="auto" w:fill="auto"/>
                  <w:vAlign w:val="center"/>
                  <w:hideMark/>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sz w:val="18"/>
                      <w:szCs w:val="18"/>
                      <w:lang w:val="en-US"/>
                    </w:rPr>
                  </w:pPr>
                  <w:r w:rsidRPr="006B129F">
                    <w:rPr>
                      <w:rFonts w:ascii="Calibri" w:eastAsia="Times New Roman" w:hAnsi="Calibri" w:cs="Calibri"/>
                      <w:sz w:val="18"/>
                      <w:szCs w:val="18"/>
                      <w:lang w:val="en-US"/>
                    </w:rPr>
                    <w:t>United Kingdom</w:t>
                  </w:r>
                </w:p>
              </w:tc>
              <w:tc>
                <w:tcPr>
                  <w:tcW w:w="1530" w:type="dxa"/>
                  <w:shd w:val="clear" w:color="auto" w:fill="auto"/>
                  <w:noWrap/>
                  <w:vAlign w:val="center"/>
                  <w:hideMark/>
                </w:tcPr>
                <w:p w:rsidR="006B129F" w:rsidRPr="006B129F" w:rsidRDefault="001D5DF4" w:rsidP="006B129F">
                  <w:pPr>
                    <w:widowControl w:val="0"/>
                    <w:spacing w:before="100" w:beforeAutospacing="1" w:after="100" w:afterAutospacing="1"/>
                    <w:contextualSpacing/>
                    <w:jc w:val="center"/>
                    <w:rPr>
                      <w:rFonts w:ascii="Calibri" w:eastAsia="Times New Roman" w:hAnsi="Calibri" w:cs="Calibri"/>
                      <w:color w:val="000000"/>
                      <w:sz w:val="18"/>
                      <w:szCs w:val="18"/>
                      <w:lang w:val="en-US"/>
                    </w:rPr>
                  </w:pPr>
                  <w:r>
                    <w:rPr>
                      <w:rFonts w:ascii="Calibri" w:eastAsia="Times New Roman" w:hAnsi="Calibri" w:cs="Calibri"/>
                      <w:color w:val="000000"/>
                      <w:sz w:val="18"/>
                      <w:szCs w:val="18"/>
                      <w:lang w:val="en-US"/>
                    </w:rPr>
                    <w:t>351</w:t>
                  </w:r>
                </w:p>
              </w:tc>
            </w:tr>
            <w:tr w:rsidR="006B129F" w:rsidRPr="006B129F" w:rsidTr="006D6A5E">
              <w:trPr>
                <w:cantSplit/>
                <w:trHeight w:val="20"/>
                <w:jc w:val="right"/>
              </w:trPr>
              <w:tc>
                <w:tcPr>
                  <w:tcW w:w="2317" w:type="dxa"/>
                  <w:shd w:val="clear" w:color="auto" w:fill="FFFFFF" w:themeFill="background1"/>
                  <w:vAlign w:val="center"/>
                </w:tcPr>
                <w:p w:rsidR="006B129F" w:rsidRPr="006B129F" w:rsidRDefault="006B129F" w:rsidP="006B129F">
                  <w:pPr>
                    <w:widowControl w:val="0"/>
                    <w:spacing w:before="100" w:beforeAutospacing="1" w:after="100" w:afterAutospacing="1"/>
                    <w:contextualSpacing/>
                    <w:jc w:val="left"/>
                    <w:rPr>
                      <w:rFonts w:ascii="Calibri" w:eastAsia="Times New Roman" w:hAnsi="Calibri" w:cs="Calibri"/>
                      <w:b/>
                      <w:sz w:val="18"/>
                      <w:szCs w:val="18"/>
                      <w:lang w:val="en-US"/>
                    </w:rPr>
                  </w:pPr>
                  <w:r>
                    <w:rPr>
                      <w:rFonts w:ascii="Calibri" w:eastAsia="Times New Roman" w:hAnsi="Calibri" w:cs="Calibri"/>
                      <w:b/>
                      <w:sz w:val="18"/>
                      <w:szCs w:val="18"/>
                      <w:lang w:val="en-US"/>
                    </w:rPr>
                    <w:t>TOTAL</w:t>
                  </w:r>
                </w:p>
              </w:tc>
              <w:tc>
                <w:tcPr>
                  <w:tcW w:w="1530" w:type="dxa"/>
                  <w:shd w:val="clear" w:color="auto" w:fill="FFFFFF" w:themeFill="background1"/>
                  <w:noWrap/>
                  <w:vAlign w:val="center"/>
                </w:tcPr>
                <w:p w:rsidR="006B129F" w:rsidRPr="006B129F" w:rsidRDefault="001D5DF4" w:rsidP="00EB137E">
                  <w:pPr>
                    <w:widowControl w:val="0"/>
                    <w:spacing w:before="100" w:beforeAutospacing="1" w:after="100" w:afterAutospacing="1"/>
                    <w:contextualSpacing/>
                    <w:jc w:val="center"/>
                    <w:rPr>
                      <w:rFonts w:ascii="Calibri" w:eastAsia="Times New Roman" w:hAnsi="Calibri" w:cs="Calibri"/>
                      <w:b/>
                      <w:color w:val="000000"/>
                      <w:sz w:val="18"/>
                      <w:szCs w:val="18"/>
                      <w:lang w:val="en-US"/>
                    </w:rPr>
                  </w:pPr>
                  <w:r>
                    <w:rPr>
                      <w:rFonts w:ascii="Calibri" w:eastAsia="Times New Roman" w:hAnsi="Calibri" w:cs="Calibri"/>
                      <w:b/>
                      <w:color w:val="000000"/>
                      <w:sz w:val="18"/>
                      <w:szCs w:val="18"/>
                      <w:lang w:val="en-US"/>
                    </w:rPr>
                    <w:t>11738</w:t>
                  </w:r>
                </w:p>
              </w:tc>
            </w:tr>
          </w:tbl>
          <w:p w:rsidR="00326E9B" w:rsidRDefault="00326E9B" w:rsidP="001E38FB">
            <w:pPr>
              <w:spacing w:line="276" w:lineRule="auto"/>
              <w:jc w:val="left"/>
              <w:rPr>
                <w:rFonts w:cs="Arial"/>
                <w:b/>
                <w:szCs w:val="20"/>
              </w:rPr>
            </w:pPr>
          </w:p>
        </w:tc>
      </w:tr>
    </w:tbl>
    <w:p w:rsidR="006B129F" w:rsidRPr="006B129F" w:rsidRDefault="006B129F" w:rsidP="006B129F">
      <w:pPr>
        <w:spacing w:line="276" w:lineRule="auto"/>
        <w:jc w:val="left"/>
        <w:rPr>
          <w:rFonts w:cs="Arial"/>
          <w:b/>
          <w:szCs w:val="20"/>
        </w:rPr>
      </w:pPr>
      <w:r w:rsidRPr="006B129F">
        <w:rPr>
          <w:rFonts w:cs="Arial"/>
          <w:b/>
          <w:szCs w:val="20"/>
        </w:rPr>
        <w:lastRenderedPageBreak/>
        <w:t xml:space="preserve">Additional information under question </w:t>
      </w:r>
      <w:r>
        <w:rPr>
          <w:rFonts w:cs="Arial"/>
          <w:b/>
          <w:szCs w:val="20"/>
        </w:rPr>
        <w:t>1</w:t>
      </w:r>
      <w:r w:rsidRPr="006B129F">
        <w:rPr>
          <w:rFonts w:cs="Arial"/>
          <w:b/>
          <w:szCs w:val="20"/>
        </w:rPr>
        <w:t>:</w:t>
      </w:r>
    </w:p>
    <w:tbl>
      <w:tblPr>
        <w:tblStyle w:val="Question-group-table1"/>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1920"/>
        <w:gridCol w:w="12593"/>
      </w:tblGrid>
      <w:tr w:rsidR="006B129F" w:rsidRPr="00BC3779"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6B129F" w:rsidRPr="006D6A5E" w:rsidRDefault="006B129F" w:rsidP="009C222C">
            <w:pPr>
              <w:jc w:val="center"/>
              <w:rPr>
                <w:rFonts w:eastAsia="Times New Roman"/>
                <w:sz w:val="24"/>
                <w:szCs w:val="24"/>
                <w:bdr w:val="nil"/>
              </w:rPr>
            </w:pPr>
            <w:r w:rsidRPr="006D6A5E">
              <w:rPr>
                <w:rFonts w:ascii="Verdana" w:eastAsia="Verdana" w:hAnsi="Verdana" w:cs="Verdana"/>
                <w:b/>
                <w:bCs/>
                <w:sz w:val="18"/>
                <w:szCs w:val="18"/>
                <w:bdr w:val="nil"/>
              </w:rPr>
              <w:t> </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6B129F" w:rsidRPr="006D6A5E" w:rsidRDefault="00ED6DB7" w:rsidP="009C222C">
            <w:pPr>
              <w:jc w:val="center"/>
              <w:rPr>
                <w:rFonts w:eastAsia="Times New Roman"/>
                <w:sz w:val="24"/>
                <w:szCs w:val="24"/>
                <w:bdr w:val="nil"/>
              </w:rPr>
            </w:pPr>
            <w:r w:rsidRPr="00ED6DB7">
              <w:rPr>
                <w:rStyle w:val="Questionarie-instanceQuestion-text"/>
                <w:rFonts w:ascii="Verdana" w:eastAsia="Verdana" w:hAnsi="Verdana" w:cs="Verdana"/>
                <w:bCs w:val="0"/>
                <w:sz w:val="18"/>
                <w:szCs w:val="18"/>
              </w:rPr>
              <w:t>Th</w:t>
            </w:r>
            <w:r w:rsidR="006D5611">
              <w:rPr>
                <w:rStyle w:val="Questionarie-instanceQuestion-text"/>
                <w:rFonts w:ascii="Verdana" w:eastAsia="Verdana" w:hAnsi="Verdana" w:cs="Verdana"/>
                <w:bCs w:val="0"/>
                <w:sz w:val="18"/>
                <w:szCs w:val="18"/>
              </w:rPr>
              <w:t>e total number of links in the f</w:t>
            </w:r>
            <w:r w:rsidRPr="00ED6DB7">
              <w:rPr>
                <w:rStyle w:val="Questionarie-instanceQuestion-text"/>
                <w:rFonts w:ascii="Verdana" w:eastAsia="Verdana" w:hAnsi="Verdana" w:cs="Verdana"/>
                <w:bCs w:val="0"/>
                <w:sz w:val="18"/>
                <w:szCs w:val="18"/>
              </w:rPr>
              <w:t>requency range 5925-6425 MHz? Please provide a numerical number</w:t>
            </w:r>
          </w:p>
        </w:tc>
      </w:tr>
      <w:tr w:rsidR="007322FA" w:rsidRPr="00ED6DB7"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7322FA" w:rsidRPr="00ED6DB7" w:rsidRDefault="007322FA" w:rsidP="009C222C">
            <w:pPr>
              <w:rPr>
                <w:rFonts w:ascii="Verdana" w:eastAsia="Verdana" w:hAnsi="Verdana" w:cs="Verdana"/>
                <w:sz w:val="18"/>
                <w:szCs w:val="18"/>
                <w:bdr w:val="nil"/>
              </w:rPr>
            </w:pPr>
            <w:r>
              <w:rPr>
                <w:rFonts w:ascii="Verdana" w:eastAsia="Verdana" w:hAnsi="Verdana" w:cs="Verdana"/>
                <w:sz w:val="18"/>
                <w:szCs w:val="18"/>
                <w:bdr w:val="nil"/>
              </w:rPr>
              <w:t>France</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7322FA" w:rsidRDefault="007322FA" w:rsidP="009C222C">
            <w:pPr>
              <w:rPr>
                <w:rFonts w:ascii="Verdana" w:eastAsia="Verdana" w:hAnsi="Verdana" w:cs="Verdana"/>
                <w:sz w:val="18"/>
                <w:szCs w:val="18"/>
                <w:bdr w:val="nil"/>
              </w:rPr>
            </w:pPr>
            <w:r>
              <w:rPr>
                <w:rFonts w:ascii="Verdana" w:eastAsia="Verdana" w:hAnsi="Verdana" w:cs="Verdana"/>
                <w:sz w:val="18"/>
                <w:szCs w:val="18"/>
                <w:bdr w:val="nil"/>
              </w:rPr>
              <w:t>It should be noted that 14 links (understood as a bidirectional link using one frequency pair) are cross-Channel links between UK and France.</w:t>
            </w:r>
          </w:p>
        </w:tc>
      </w:tr>
      <w:tr w:rsidR="00ED6DB7" w:rsidRPr="00ED6DB7"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Pr="006D6A5E" w:rsidRDefault="00ED6DB7" w:rsidP="009C222C">
            <w:pPr>
              <w:rPr>
                <w:rFonts w:ascii="Verdana" w:eastAsia="Verdana" w:hAnsi="Verdana" w:cs="Verdana"/>
                <w:sz w:val="18"/>
                <w:szCs w:val="18"/>
                <w:bdr w:val="nil"/>
              </w:rPr>
            </w:pPr>
            <w:r w:rsidRPr="00ED6DB7">
              <w:rPr>
                <w:rFonts w:ascii="Verdana" w:eastAsia="Verdana" w:hAnsi="Verdana" w:cs="Verdana"/>
                <w:sz w:val="18"/>
                <w:szCs w:val="18"/>
                <w:bdr w:val="nil"/>
              </w:rPr>
              <w:t>Denmark</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Default="00ED6DB7" w:rsidP="009C222C">
            <w:r>
              <w:rPr>
                <w:rFonts w:ascii="Verdana" w:eastAsia="Verdana" w:hAnsi="Verdana" w:cs="Verdana"/>
                <w:sz w:val="18"/>
                <w:szCs w:val="18"/>
                <w:bdr w:val="nil"/>
              </w:rPr>
              <w:t xml:space="preserve">Total number of fixed links is 10 including 6 offshore links (North Sea). </w:t>
            </w:r>
          </w:p>
        </w:tc>
      </w:tr>
      <w:tr w:rsidR="00ED6DB7" w:rsidRPr="00935E91" w:rsidTr="00474FD2">
        <w:trPr>
          <w:trHeight w:val="249"/>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Pr="006D6A5E" w:rsidRDefault="00ED6DB7" w:rsidP="009C222C">
            <w:pPr>
              <w:rPr>
                <w:rFonts w:ascii="Verdana" w:eastAsia="Verdana" w:hAnsi="Verdana" w:cs="Verdana"/>
                <w:sz w:val="18"/>
                <w:szCs w:val="18"/>
                <w:bdr w:val="nil"/>
              </w:rPr>
            </w:pPr>
            <w:r>
              <w:rPr>
                <w:rFonts w:ascii="Verdana" w:eastAsia="Verdana" w:hAnsi="Verdana" w:cs="Verdana"/>
                <w:sz w:val="18"/>
                <w:szCs w:val="18"/>
                <w:bdr w:val="nil"/>
              </w:rPr>
              <w:t>Georgia</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Pr="006D6A5E" w:rsidRDefault="00ED6DB7" w:rsidP="009C222C">
            <w:pPr>
              <w:rPr>
                <w:rFonts w:ascii="Verdana" w:eastAsia="Verdana" w:hAnsi="Verdana" w:cs="Verdana"/>
                <w:sz w:val="18"/>
                <w:szCs w:val="18"/>
                <w:bdr w:val="nil"/>
              </w:rPr>
            </w:pPr>
            <w:r w:rsidRPr="006B129F">
              <w:rPr>
                <w:rFonts w:ascii="Verdana" w:eastAsia="Verdana" w:hAnsi="Verdana" w:cs="Verdana"/>
                <w:sz w:val="18"/>
                <w:szCs w:val="18"/>
                <w:bdr w:val="nil"/>
              </w:rPr>
              <w:t>About more than 470 duplex links have been already assigned to applicants. Main consumers are mobile operators.</w:t>
            </w:r>
          </w:p>
        </w:tc>
      </w:tr>
      <w:tr w:rsidR="00ED6DB7" w:rsidRPr="00BC3779"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Default="00ED6DB7" w:rsidP="009C222C">
            <w:pPr>
              <w:rPr>
                <w:rFonts w:ascii="Verdana" w:eastAsia="Verdana" w:hAnsi="Verdana" w:cs="Verdana"/>
                <w:sz w:val="18"/>
                <w:szCs w:val="18"/>
                <w:bdr w:val="nil"/>
              </w:rPr>
            </w:pPr>
            <w:r>
              <w:rPr>
                <w:rFonts w:ascii="Verdana" w:eastAsia="Verdana" w:hAnsi="Verdana" w:cs="Verdana"/>
                <w:sz w:val="18"/>
                <w:szCs w:val="18"/>
                <w:bdr w:val="nil"/>
              </w:rPr>
              <w:t>Switzerland</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DB7" w:rsidRPr="006B129F" w:rsidRDefault="00ED6DB7" w:rsidP="00ED6DB7">
            <w:pPr>
              <w:rPr>
                <w:rFonts w:ascii="Verdana" w:eastAsia="Verdana" w:hAnsi="Verdana" w:cs="Verdana"/>
                <w:sz w:val="18"/>
                <w:szCs w:val="18"/>
                <w:bdr w:val="nil"/>
              </w:rPr>
            </w:pPr>
            <w:r>
              <w:rPr>
                <w:rFonts w:ascii="Verdana" w:eastAsia="Verdana" w:hAnsi="Verdana" w:cs="Verdana"/>
                <w:sz w:val="18"/>
                <w:szCs w:val="18"/>
                <w:bdr w:val="nil"/>
              </w:rPr>
              <w:t>The total number of 53 links is analysed. Increase of the number of links is envisioned in the next years.</w:t>
            </w:r>
          </w:p>
        </w:tc>
      </w:tr>
      <w:tr w:rsidR="00474FD2" w:rsidRPr="00BC3779"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t>United Kingdom</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6D6A5E">
            <w:pPr>
              <w:rPr>
                <w:rFonts w:ascii="Verdana" w:eastAsia="Verdana" w:hAnsi="Verdana" w:cs="Verdana"/>
                <w:sz w:val="18"/>
                <w:szCs w:val="18"/>
                <w:bdr w:val="nil"/>
              </w:rPr>
            </w:pPr>
            <w:r>
              <w:rPr>
                <w:rFonts w:ascii="Verdana" w:eastAsia="Verdana" w:hAnsi="Verdana" w:cs="Verdana"/>
                <w:sz w:val="18"/>
                <w:szCs w:val="18"/>
                <w:bdr w:val="nil"/>
              </w:rPr>
              <w:t xml:space="preserve">The UK provides details of its fixed links data under its “Open Data” policy. </w:t>
            </w:r>
            <w:r>
              <w:rPr>
                <w:rFonts w:ascii="Verdana" w:eastAsia="Verdana" w:hAnsi="Verdana" w:cs="Verdana"/>
                <w:sz w:val="18"/>
                <w:szCs w:val="18"/>
                <w:bdr w:val="nil"/>
              </w:rPr>
              <w:br/>
              <w:t xml:space="preserve">Where we can make the data available on an open basis, we use the Open Government Licence, which gives users various freedoms about how they choose to use the data, subject to some conditions. </w:t>
            </w:r>
            <w:r>
              <w:rPr>
                <w:rFonts w:ascii="Verdana" w:eastAsia="Verdana" w:hAnsi="Verdana" w:cs="Verdana"/>
                <w:sz w:val="18"/>
                <w:szCs w:val="18"/>
                <w:bdr w:val="nil"/>
              </w:rPr>
              <w:br/>
            </w:r>
            <w:hyperlink r:id="rId15" w:anchor="accordion__target-92004" w:history="1">
              <w:r w:rsidRPr="00887D9E">
                <w:rPr>
                  <w:rStyle w:val="Hyperlink"/>
                  <w:rFonts w:ascii="Verdana" w:eastAsia="Verdana" w:hAnsi="Verdana" w:cs="Verdana"/>
                  <w:sz w:val="18"/>
                  <w:szCs w:val="18"/>
                  <w:bdr w:val="nil"/>
                </w:rPr>
                <w:t>https://www.ofcom.org.uk/research-and-data/data/opendata#accordion__target-92004</w:t>
              </w:r>
            </w:hyperlink>
            <w:r>
              <w:rPr>
                <w:rFonts w:ascii="Verdana" w:eastAsia="Verdana" w:hAnsi="Verdana" w:cs="Verdana"/>
                <w:sz w:val="18"/>
                <w:szCs w:val="18"/>
                <w:bdr w:val="nil"/>
              </w:rPr>
              <w:t xml:space="preserve">  </w:t>
            </w:r>
            <w:r>
              <w:rPr>
                <w:rFonts w:ascii="Verdana" w:eastAsia="Verdana" w:hAnsi="Verdana" w:cs="Verdana"/>
                <w:sz w:val="18"/>
                <w:szCs w:val="18"/>
                <w:bdr w:val="nil"/>
              </w:rPr>
              <w:br/>
              <w:t xml:space="preserve">The most recent export of spectrum detail can be found here; </w:t>
            </w:r>
            <w:r>
              <w:rPr>
                <w:rFonts w:ascii="Verdana" w:eastAsia="Verdana" w:hAnsi="Verdana" w:cs="Verdana"/>
                <w:sz w:val="18"/>
                <w:szCs w:val="18"/>
                <w:bdr w:val="nil"/>
              </w:rPr>
              <w:br/>
            </w:r>
            <w:hyperlink r:id="rId16" w:history="1">
              <w:r w:rsidRPr="00887D9E">
                <w:rPr>
                  <w:rStyle w:val="Hyperlink"/>
                  <w:rFonts w:ascii="Verdana" w:eastAsia="Verdana" w:hAnsi="Verdana" w:cs="Verdana"/>
                  <w:sz w:val="18"/>
                  <w:szCs w:val="18"/>
                  <w:bdr w:val="nil"/>
                </w:rPr>
                <w:t>http://static.ofcom.org.uk/static/spectrum/wireless-telegraphy-register/WTR-Register-Report-12012018.xlsx</w:t>
              </w:r>
            </w:hyperlink>
            <w:r>
              <w:rPr>
                <w:rFonts w:ascii="Verdana" w:eastAsia="Verdana" w:hAnsi="Verdana" w:cs="Verdana"/>
                <w:sz w:val="18"/>
                <w:szCs w:val="18"/>
                <w:bdr w:val="nil"/>
              </w:rPr>
              <w:t xml:space="preserve">  </w:t>
            </w:r>
            <w:r>
              <w:rPr>
                <w:rFonts w:ascii="Verdana" w:eastAsia="Verdana" w:hAnsi="Verdana" w:cs="Verdana"/>
                <w:sz w:val="18"/>
                <w:szCs w:val="18"/>
                <w:bdr w:val="nil"/>
              </w:rPr>
              <w:br/>
              <w:t>Each licence number represents either a unidirectional or a bidirectional link.</w:t>
            </w:r>
          </w:p>
        </w:tc>
      </w:tr>
    </w:tbl>
    <w:p w:rsidR="001B0D52" w:rsidRPr="00326E9B" w:rsidRDefault="001B0D52">
      <w:pPr>
        <w:rPr>
          <w:rFonts w:cs="Arial"/>
          <w:b/>
          <w:szCs w:val="20"/>
        </w:rPr>
      </w:pPr>
      <w:r w:rsidRPr="00326E9B">
        <w:rPr>
          <w:rFonts w:cs="Arial"/>
          <w:b/>
          <w:szCs w:val="20"/>
        </w:rPr>
        <w:br w:type="page"/>
      </w:r>
    </w:p>
    <w:p w:rsidR="001B0D52" w:rsidRPr="00252C7C" w:rsidRDefault="001B0D52" w:rsidP="001B0D52">
      <w:pPr>
        <w:spacing w:line="276" w:lineRule="auto"/>
        <w:jc w:val="left"/>
        <w:rPr>
          <w:rFonts w:cs="Arial"/>
          <w:b/>
          <w:szCs w:val="20"/>
        </w:rPr>
      </w:pPr>
      <w:r w:rsidRPr="00326E9B">
        <w:rPr>
          <w:rFonts w:cs="Arial"/>
          <w:b/>
          <w:szCs w:val="20"/>
        </w:rPr>
        <w:lastRenderedPageBreak/>
        <w:t>Question 2: Are the frequency usages distributed uniformly over the whole frequency range?</w:t>
      </w:r>
      <w:r w:rsidR="008D3689" w:rsidRPr="00326E9B">
        <w:rPr>
          <w:rFonts w:cs="Arial"/>
          <w:b/>
          <w:szCs w:val="20"/>
        </w:rPr>
        <w:t xml:space="preserve"> </w:t>
      </w:r>
      <w:proofErr w:type="gramStart"/>
      <w:r w:rsidR="00252C7C">
        <w:rPr>
          <w:rFonts w:cs="Arial"/>
          <w:szCs w:val="20"/>
        </w:rPr>
        <w:t>a</w:t>
      </w:r>
      <w:r w:rsidR="00252C7C" w:rsidRPr="00252C7C">
        <w:rPr>
          <w:rFonts w:cs="Arial"/>
          <w:szCs w:val="20"/>
        </w:rPr>
        <w:t>nd</w:t>
      </w:r>
      <w:proofErr w:type="gramEnd"/>
    </w:p>
    <w:p w:rsidR="008D3689" w:rsidRPr="00252C7C" w:rsidRDefault="008D3689" w:rsidP="001B0D52">
      <w:pPr>
        <w:spacing w:line="276" w:lineRule="auto"/>
        <w:jc w:val="left"/>
        <w:rPr>
          <w:rFonts w:cs="Arial"/>
          <w:b/>
          <w:szCs w:val="20"/>
        </w:rPr>
      </w:pPr>
      <w:r w:rsidRPr="00252C7C">
        <w:rPr>
          <w:rFonts w:cs="Arial"/>
          <w:b/>
          <w:szCs w:val="20"/>
        </w:rPr>
        <w:t>Question 3: Are there any part(s) of the frequency band 5925-6425 MHz that are or may become more important than others?</w:t>
      </w:r>
    </w:p>
    <w:p w:rsidR="008D3689" w:rsidRPr="00252C7C" w:rsidRDefault="008D3689" w:rsidP="008D3689">
      <w:pPr>
        <w:spacing w:line="276" w:lineRule="auto"/>
        <w:jc w:val="left"/>
        <w:rPr>
          <w:rFonts w:cs="Arial"/>
          <w:szCs w:val="20"/>
        </w:rPr>
      </w:pPr>
      <w:r w:rsidRPr="00252C7C">
        <w:rPr>
          <w:rFonts w:cs="Arial"/>
          <w:szCs w:val="20"/>
        </w:rPr>
        <w:t xml:space="preserve">Question 3 is complementary to Question 2. Consequently, almost no indication has been provided by administrations about certain sub-bands being more important than other sub-bands under question 3. The vast majority of answers from administrations </w:t>
      </w:r>
      <w:proofErr w:type="gramStart"/>
      <w:r w:rsidRPr="00252C7C">
        <w:rPr>
          <w:rFonts w:cs="Arial"/>
          <w:szCs w:val="20"/>
        </w:rPr>
        <w:t>is</w:t>
      </w:r>
      <w:proofErr w:type="gramEnd"/>
      <w:r w:rsidRPr="00252C7C">
        <w:rPr>
          <w:rFonts w:cs="Arial"/>
          <w:szCs w:val="20"/>
        </w:rPr>
        <w:t xml:space="preserve"> simply: ‘No’.</w:t>
      </w:r>
    </w:p>
    <w:p w:rsidR="008D3689" w:rsidRPr="006D6A5E" w:rsidRDefault="008D3689" w:rsidP="008D3689">
      <w:pPr>
        <w:spacing w:before="0" w:after="200" w:line="276" w:lineRule="auto"/>
        <w:jc w:val="left"/>
        <w:rPr>
          <w:rFonts w:ascii="Calibri" w:hAnsi="Calibri"/>
          <w:b/>
          <w:sz w:val="22"/>
        </w:rPr>
      </w:pPr>
      <w:proofErr w:type="gramStart"/>
      <w:r w:rsidRPr="006D6A5E">
        <w:rPr>
          <w:rFonts w:ascii="Calibri" w:hAnsi="Calibri"/>
          <w:b/>
          <w:sz w:val="22"/>
        </w:rPr>
        <w:t>Uniform distribution?</w:t>
      </w:r>
      <w:proofErr w:type="gramEnd"/>
    </w:p>
    <w:tbl>
      <w:tblPr>
        <w:tblStyle w:val="TableGrid1"/>
        <w:tblW w:w="0" w:type="auto"/>
        <w:tblLook w:val="04A0" w:firstRow="1" w:lastRow="0" w:firstColumn="1" w:lastColumn="0" w:noHBand="0" w:noVBand="1"/>
      </w:tblPr>
      <w:tblGrid>
        <w:gridCol w:w="6788"/>
        <w:gridCol w:w="6788"/>
      </w:tblGrid>
      <w:tr w:rsidR="008D3689" w:rsidRPr="00BC3779" w:rsidTr="009C222C">
        <w:tc>
          <w:tcPr>
            <w:tcW w:w="6788" w:type="dxa"/>
            <w:shd w:val="clear" w:color="auto" w:fill="FF0000"/>
          </w:tcPr>
          <w:p w:rsidR="008D3689" w:rsidRPr="006D6A5E" w:rsidRDefault="008D3689" w:rsidP="008D3689">
            <w:pPr>
              <w:jc w:val="center"/>
              <w:rPr>
                <w:b/>
                <w:color w:val="FFFFFF"/>
              </w:rPr>
            </w:pPr>
            <w:r w:rsidRPr="006D6A5E">
              <w:rPr>
                <w:b/>
                <w:color w:val="FFFFFF"/>
              </w:rPr>
              <w:t>Distribution</w:t>
            </w:r>
          </w:p>
        </w:tc>
        <w:tc>
          <w:tcPr>
            <w:tcW w:w="6788" w:type="dxa"/>
            <w:shd w:val="clear" w:color="auto" w:fill="FF0000"/>
          </w:tcPr>
          <w:p w:rsidR="008D3689" w:rsidRPr="006D6A5E" w:rsidRDefault="008D3689" w:rsidP="008D3689">
            <w:pPr>
              <w:jc w:val="center"/>
              <w:rPr>
                <w:b/>
                <w:color w:val="FFFFFF"/>
              </w:rPr>
            </w:pPr>
            <w:r w:rsidRPr="006D6A5E">
              <w:rPr>
                <w:b/>
                <w:color w:val="FFFFFF"/>
              </w:rPr>
              <w:t>Countries</w:t>
            </w:r>
          </w:p>
        </w:tc>
      </w:tr>
      <w:tr w:rsidR="008D3689" w:rsidRPr="00BC3779" w:rsidTr="009C222C">
        <w:tc>
          <w:tcPr>
            <w:tcW w:w="6788" w:type="dxa"/>
          </w:tcPr>
          <w:p w:rsidR="008D3689" w:rsidRPr="006D6A5E" w:rsidRDefault="008D3689" w:rsidP="008D3689">
            <w:pPr>
              <w:rPr>
                <w:b/>
              </w:rPr>
            </w:pPr>
            <w:r w:rsidRPr="006D6A5E">
              <w:rPr>
                <w:b/>
              </w:rPr>
              <w:t>Uniform distribution:</w:t>
            </w:r>
          </w:p>
          <w:p w:rsidR="008D3689" w:rsidRPr="006D6A5E" w:rsidRDefault="008D3689" w:rsidP="001D5DF4">
            <w:r w:rsidRPr="006D6A5E">
              <w:t>Yes (</w:t>
            </w:r>
            <w:r w:rsidR="007322FA" w:rsidRPr="006D6A5E">
              <w:t>2</w:t>
            </w:r>
            <w:r w:rsidR="007322FA">
              <w:t>3</w:t>
            </w:r>
            <w:r w:rsidR="007322FA" w:rsidRPr="006D6A5E">
              <w:t xml:space="preserve"> </w:t>
            </w:r>
            <w:r w:rsidRPr="006D6A5E">
              <w:t xml:space="preserve">countries) representing </w:t>
            </w:r>
            <w:r w:rsidR="00601C6B">
              <w:t>9</w:t>
            </w:r>
            <w:r w:rsidR="001D5DF4">
              <w:t>516</w:t>
            </w:r>
            <w:r w:rsidR="007322FA" w:rsidRPr="006D6A5E">
              <w:t xml:space="preserve"> </w:t>
            </w:r>
            <w:r w:rsidRPr="006D6A5E">
              <w:t>FS links</w:t>
            </w:r>
          </w:p>
        </w:tc>
        <w:tc>
          <w:tcPr>
            <w:tcW w:w="6788" w:type="dxa"/>
          </w:tcPr>
          <w:p w:rsidR="008D3689" w:rsidRPr="006D6A5E" w:rsidRDefault="008D3689" w:rsidP="008D3689">
            <w:r w:rsidRPr="006D6A5E">
              <w:t>Albania, Austria, Azerbaijan, Belgium, Bosnia Herzegovina, Bulgaria, Czech Republic,</w:t>
            </w:r>
            <w:r w:rsidR="007322FA">
              <w:t xml:space="preserve"> France,</w:t>
            </w:r>
            <w:r w:rsidRPr="006D6A5E">
              <w:t xml:space="preserve"> Denmark, Georgia, Germany, Ireland, Italy, Macedonia (FYROM), Montenegro, Portugal, Russian Federation, Slovakia, Sweden, Switzerland, Turkey, Ukraine, United Kingdom</w:t>
            </w:r>
          </w:p>
        </w:tc>
      </w:tr>
      <w:tr w:rsidR="008D3689" w:rsidRPr="00BC3779" w:rsidTr="009C222C">
        <w:trPr>
          <w:trHeight w:val="3770"/>
        </w:trPr>
        <w:tc>
          <w:tcPr>
            <w:tcW w:w="6788" w:type="dxa"/>
          </w:tcPr>
          <w:p w:rsidR="008D3689" w:rsidRPr="006D6A5E" w:rsidRDefault="008D3689" w:rsidP="008D3689">
            <w:pPr>
              <w:rPr>
                <w:b/>
              </w:rPr>
            </w:pPr>
            <w:r w:rsidRPr="006D6A5E">
              <w:rPr>
                <w:b/>
              </w:rPr>
              <w:t xml:space="preserve">Distribution not uniform or special situation (11 countries representing </w:t>
            </w:r>
            <w:r w:rsidR="00601C6B">
              <w:rPr>
                <w:b/>
              </w:rPr>
              <w:t>2222</w:t>
            </w:r>
            <w:r w:rsidRPr="006D6A5E">
              <w:rPr>
                <w:b/>
              </w:rPr>
              <w:t xml:space="preserve"> FS links)</w:t>
            </w:r>
          </w:p>
          <w:p w:rsidR="008D3689" w:rsidRPr="006D6A5E" w:rsidRDefault="008D3689" w:rsidP="008D3689">
            <w:r w:rsidRPr="006D6A5E">
              <w:t>Finland (64), Norway (811), Spain (850)</w:t>
            </w:r>
          </w:p>
          <w:p w:rsidR="008D3689" w:rsidRPr="006D6A5E" w:rsidRDefault="008D3689" w:rsidP="008D3689">
            <w:r w:rsidRPr="006D6A5E">
              <w:t>Greece (323)</w:t>
            </w:r>
          </w:p>
          <w:p w:rsidR="008D3689" w:rsidRPr="006D6A5E" w:rsidRDefault="008D3689" w:rsidP="008D3689">
            <w:r w:rsidRPr="006D6A5E">
              <w:t>Hungary (116)</w:t>
            </w:r>
          </w:p>
          <w:p w:rsidR="008D3689" w:rsidRPr="006D6A5E" w:rsidRDefault="008D3689" w:rsidP="008D3689"/>
          <w:p w:rsidR="008D3689" w:rsidRPr="006D6A5E" w:rsidRDefault="008D3689" w:rsidP="008D3689">
            <w:r w:rsidRPr="006D6A5E">
              <w:t>Latvia (22)</w:t>
            </w:r>
          </w:p>
          <w:p w:rsidR="008D3689" w:rsidRPr="006D6A5E" w:rsidRDefault="008D3689" w:rsidP="008D3689">
            <w:r w:rsidRPr="006D6A5E">
              <w:t>Netherlands (13)</w:t>
            </w:r>
          </w:p>
          <w:p w:rsidR="008D3689" w:rsidRPr="006D6A5E" w:rsidRDefault="008D3689" w:rsidP="008D3689"/>
          <w:p w:rsidR="008D3689" w:rsidRPr="006D6A5E" w:rsidRDefault="008D3689" w:rsidP="008D3689">
            <w:r w:rsidRPr="006D6A5E">
              <w:t>Lithuania (13)</w:t>
            </w:r>
          </w:p>
          <w:p w:rsidR="008D3689" w:rsidRPr="006D6A5E" w:rsidRDefault="008D3689" w:rsidP="008D3689">
            <w:r w:rsidRPr="006D6A5E">
              <w:t>Slovenia (10)</w:t>
            </w:r>
          </w:p>
          <w:p w:rsidR="008D3689" w:rsidRPr="006D6A5E" w:rsidRDefault="008D3689" w:rsidP="008D3689"/>
          <w:p w:rsidR="008D3689" w:rsidRPr="006D6A5E" w:rsidRDefault="008D3689" w:rsidP="008D3689"/>
        </w:tc>
        <w:tc>
          <w:tcPr>
            <w:tcW w:w="6788" w:type="dxa"/>
          </w:tcPr>
          <w:p w:rsidR="008D3689" w:rsidRPr="006D6A5E" w:rsidRDefault="008D3689" w:rsidP="008D3689"/>
          <w:p w:rsidR="008D3689" w:rsidRPr="006D6A5E" w:rsidRDefault="008D3689" w:rsidP="008D3689"/>
          <w:p w:rsidR="008D3689" w:rsidRPr="006D6A5E" w:rsidRDefault="008D3689" w:rsidP="008D3689">
            <w:r w:rsidRPr="006D6A5E">
              <w:t>Distribution from the beginning  of the band, i.e. first channels used first</w:t>
            </w:r>
          </w:p>
          <w:p w:rsidR="008D3689" w:rsidRPr="006D6A5E" w:rsidRDefault="008D3689" w:rsidP="008D3689">
            <w:r w:rsidRPr="006D6A5E">
              <w:t>Not uniform but based on ERC/REC 14-01 all channels from 1 to 8 used</w:t>
            </w:r>
          </w:p>
          <w:p w:rsidR="008D3689" w:rsidRPr="006D6A5E" w:rsidRDefault="008D3689" w:rsidP="008D3689">
            <w:r w:rsidRPr="006D6A5E">
              <w:t>All channels used but even channel numbers are about 3 times more used (ERC/REC 14-01)</w:t>
            </w:r>
          </w:p>
          <w:p w:rsidR="008D3689" w:rsidRPr="006D6A5E" w:rsidRDefault="008D3689" w:rsidP="008D3689">
            <w:r w:rsidRPr="006D6A5E">
              <w:t>5985-6425 MHz</w:t>
            </w:r>
          </w:p>
          <w:p w:rsidR="008D3689" w:rsidRPr="006D6A5E" w:rsidRDefault="008D3689" w:rsidP="008D3689">
            <w:r w:rsidRPr="006D6A5E">
              <w:t>Channel 1 (29.65 MHz) not allocated, channels 2 to 5 assigned (ERC/REC 14-01)</w:t>
            </w:r>
          </w:p>
          <w:p w:rsidR="008D3689" w:rsidRPr="006D6A5E" w:rsidRDefault="008D3689" w:rsidP="008D3689">
            <w:r w:rsidRPr="006D6A5E">
              <w:t>All links use centre frequency 5940 MHz</w:t>
            </w:r>
          </w:p>
          <w:p w:rsidR="008D3689" w:rsidRPr="006D6A5E" w:rsidRDefault="008D3689" w:rsidP="008D3689">
            <w:r w:rsidRPr="006D6A5E">
              <w:t xml:space="preserve">3 channels governmental use, remaining channels uniform distribution </w:t>
            </w:r>
          </w:p>
          <w:p w:rsidR="008D3689" w:rsidRPr="006D6A5E" w:rsidRDefault="008D3689" w:rsidP="008D3689"/>
          <w:p w:rsidR="008D3689" w:rsidRPr="006D6A5E" w:rsidRDefault="008D3689" w:rsidP="008D3689"/>
        </w:tc>
      </w:tr>
      <w:tr w:rsidR="008D3689" w:rsidRPr="00BC3779" w:rsidTr="009C222C">
        <w:tc>
          <w:tcPr>
            <w:tcW w:w="6788" w:type="dxa"/>
          </w:tcPr>
          <w:p w:rsidR="008D3689" w:rsidRPr="006D6A5E" w:rsidRDefault="008D3689" w:rsidP="008D3689">
            <w:r w:rsidRPr="006D6A5E">
              <w:rPr>
                <w:b/>
              </w:rPr>
              <w:t>No FS links (5 countries)</w:t>
            </w:r>
          </w:p>
        </w:tc>
        <w:tc>
          <w:tcPr>
            <w:tcW w:w="6788" w:type="dxa"/>
          </w:tcPr>
          <w:p w:rsidR="008D3689" w:rsidRPr="006D6A5E" w:rsidRDefault="008D3689" w:rsidP="008D3689">
            <w:r w:rsidRPr="006D6A5E">
              <w:t xml:space="preserve">Belarus, Estonia, Iceland, Luxembourg, Malta </w:t>
            </w:r>
            <w:r w:rsidRPr="006D6A5E">
              <w:rPr>
                <w:b/>
              </w:rPr>
              <w:t>(0)</w:t>
            </w:r>
          </w:p>
        </w:tc>
      </w:tr>
      <w:tr w:rsidR="008D3689" w:rsidRPr="00BC3779" w:rsidTr="009C222C">
        <w:tc>
          <w:tcPr>
            <w:tcW w:w="13576" w:type="dxa"/>
            <w:gridSpan w:val="2"/>
          </w:tcPr>
          <w:p w:rsidR="008D3689" w:rsidRPr="006D6A5E" w:rsidRDefault="008D3689" w:rsidP="008D3689">
            <w:pPr>
              <w:rPr>
                <w:b/>
              </w:rPr>
            </w:pPr>
            <w:r w:rsidRPr="006D6A5E">
              <w:rPr>
                <w:b/>
              </w:rPr>
              <w:t>Note that ERC/REC 14-01 includes a lower guard band in 5925-5930.375 MHz, a centre gap in 6167.575-6182.415 MHz and an upper guard band in 6419.615-6425 MHz</w:t>
            </w:r>
          </w:p>
          <w:p w:rsidR="008D3689" w:rsidRPr="006D6A5E" w:rsidRDefault="008D3689" w:rsidP="008D3689">
            <w:pPr>
              <w:rPr>
                <w:b/>
              </w:rPr>
            </w:pPr>
            <w:r w:rsidRPr="006D6A5E">
              <w:rPr>
                <w:b/>
              </w:rPr>
              <w:t>For ECC/REC (14)06 (much less implementation than ERC/REC 14-01), the lower guard</w:t>
            </w:r>
            <w:r w:rsidR="00326E9B">
              <w:rPr>
                <w:b/>
              </w:rPr>
              <w:t xml:space="preserve"> </w:t>
            </w:r>
            <w:r w:rsidRPr="006D6A5E">
              <w:rPr>
                <w:b/>
              </w:rPr>
              <w:t xml:space="preserve">band is only 2.17 MHz wide and the centre gap is 6180.245-6424.553 </w:t>
            </w:r>
            <w:proofErr w:type="spellStart"/>
            <w:r w:rsidRPr="006D6A5E">
              <w:rPr>
                <w:b/>
              </w:rPr>
              <w:t>MHz.</w:t>
            </w:r>
            <w:proofErr w:type="spellEnd"/>
            <w:r w:rsidRPr="006D6A5E">
              <w:rPr>
                <w:b/>
              </w:rPr>
              <w:t xml:space="preserve"> </w:t>
            </w:r>
          </w:p>
          <w:p w:rsidR="008D3689" w:rsidRPr="006D6A5E" w:rsidRDefault="008D3689" w:rsidP="008D3689">
            <w:r w:rsidRPr="006D6A5E">
              <w:rPr>
                <w:b/>
              </w:rPr>
              <w:t>From this summary, it can be concluded that the distribution over Europe is not uniform but it is also difficult to identify a clear trend indicating a major sub-band in 5925-6425 MHz with much lower use than within uniform distribution.</w:t>
            </w:r>
          </w:p>
        </w:tc>
      </w:tr>
    </w:tbl>
    <w:p w:rsidR="008D3689" w:rsidRPr="006D6A5E" w:rsidRDefault="00B15105" w:rsidP="008D3689">
      <w:pPr>
        <w:spacing w:before="0" w:after="200" w:line="276" w:lineRule="auto"/>
        <w:jc w:val="left"/>
        <w:rPr>
          <w:rFonts w:ascii="Calibri" w:hAnsi="Calibri"/>
          <w:sz w:val="22"/>
        </w:rPr>
      </w:pPr>
      <w:r w:rsidRPr="006D6A5E">
        <w:rPr>
          <w:rFonts w:ascii="Calibri" w:hAnsi="Calibri"/>
          <w:noProof/>
          <w:sz w:val="22"/>
          <w:lang w:val="en-US"/>
        </w:rPr>
        <w:lastRenderedPageBreak/>
        <mc:AlternateContent>
          <mc:Choice Requires="wps">
            <w:drawing>
              <wp:anchor distT="0" distB="0" distL="114300" distR="114300" simplePos="0" relativeHeight="251667456" behindDoc="0" locked="0" layoutInCell="1" allowOverlap="1" wp14:anchorId="6859A1B6" wp14:editId="519DAECA">
                <wp:simplePos x="0" y="0"/>
                <wp:positionH relativeFrom="column">
                  <wp:posOffset>-72390</wp:posOffset>
                </wp:positionH>
                <wp:positionV relativeFrom="paragraph">
                  <wp:posOffset>1575435</wp:posOffset>
                </wp:positionV>
                <wp:extent cx="1752600" cy="590550"/>
                <wp:effectExtent l="57150" t="19050" r="76200" b="95250"/>
                <wp:wrapNone/>
                <wp:docPr id="6" name="Oval 6"/>
                <wp:cNvGraphicFramePr/>
                <a:graphic xmlns:a="http://schemas.openxmlformats.org/drawingml/2006/main">
                  <a:graphicData uri="http://schemas.microsoft.com/office/word/2010/wordprocessingShape">
                    <wps:wsp>
                      <wps:cNvSpPr/>
                      <wps:spPr>
                        <a:xfrm>
                          <a:off x="0" y="0"/>
                          <a:ext cx="1752600" cy="590550"/>
                        </a:xfrm>
                        <a:prstGeom prst="ellipse">
                          <a:avLst/>
                        </a:prstGeom>
                        <a:noFill/>
                        <a:ln w="952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 o:spid="_x0000_s1026" style="position:absolute;margin-left:-5.7pt;margin-top:124.05pt;width:138pt;height:46.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" filled="f" strokecolor="red">
                <v:shadow on="t" color="black" opacity="22937f" origin=",.5" offset="0,.63889mm"/>
              </v:oval>
            </w:pict>
          </mc:Fallback>
        </mc:AlternateContent>
      </w:r>
      <w:r w:rsidRPr="006D6A5E">
        <w:rPr>
          <w:rFonts w:ascii="Calibri" w:hAnsi="Calibri"/>
          <w:noProof/>
          <w:sz w:val="22"/>
          <w:lang w:val="en-US"/>
        </w:rPr>
        <mc:AlternateContent>
          <mc:Choice Requires="wps">
            <w:drawing>
              <wp:anchor distT="0" distB="0" distL="114300" distR="114300" simplePos="0" relativeHeight="251665408" behindDoc="0" locked="0" layoutInCell="1" allowOverlap="1" wp14:anchorId="294755E6" wp14:editId="30B71C37">
                <wp:simplePos x="0" y="0"/>
                <wp:positionH relativeFrom="column">
                  <wp:posOffset>5042535</wp:posOffset>
                </wp:positionH>
                <wp:positionV relativeFrom="paragraph">
                  <wp:posOffset>-205740</wp:posOffset>
                </wp:positionV>
                <wp:extent cx="1752600" cy="590550"/>
                <wp:effectExtent l="57150" t="19050" r="76200" b="95250"/>
                <wp:wrapNone/>
                <wp:docPr id="5" name="Oval 5"/>
                <wp:cNvGraphicFramePr/>
                <a:graphic xmlns:a="http://schemas.openxmlformats.org/drawingml/2006/main">
                  <a:graphicData uri="http://schemas.microsoft.com/office/word/2010/wordprocessingShape">
                    <wps:wsp>
                      <wps:cNvSpPr/>
                      <wps:spPr>
                        <a:xfrm>
                          <a:off x="0" y="0"/>
                          <a:ext cx="1752600" cy="590550"/>
                        </a:xfrm>
                        <a:prstGeom prst="ellipse">
                          <a:avLst/>
                        </a:prstGeom>
                        <a:noFill/>
                        <a:ln w="952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5" o:spid="_x0000_s1026" style="position:absolute;margin-left:397.05pt;margin-top:-16.2pt;width:138pt;height:46.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" filled="f" strokecolor="red">
                <v:shadow on="t" color="black" opacity="22937f" origin=",.5" offset="0,.63889mm"/>
              </v:oval>
            </w:pict>
          </mc:Fallback>
        </mc:AlternateContent>
      </w:r>
      <w:r w:rsidRPr="006D6A5E">
        <w:rPr>
          <w:rFonts w:ascii="Calibri" w:hAnsi="Calibri"/>
          <w:noProof/>
          <w:sz w:val="22"/>
          <w:lang w:val="en-US"/>
        </w:rPr>
        <mc:AlternateContent>
          <mc:Choice Requires="wps">
            <w:drawing>
              <wp:anchor distT="0" distB="0" distL="114300" distR="114300" simplePos="0" relativeHeight="251663360" behindDoc="0" locked="0" layoutInCell="1" allowOverlap="1" wp14:anchorId="7BC244A4" wp14:editId="66D03F89">
                <wp:simplePos x="0" y="0"/>
                <wp:positionH relativeFrom="column">
                  <wp:posOffset>-158115</wp:posOffset>
                </wp:positionH>
                <wp:positionV relativeFrom="paragraph">
                  <wp:posOffset>384810</wp:posOffset>
                </wp:positionV>
                <wp:extent cx="1752600" cy="590550"/>
                <wp:effectExtent l="57150" t="19050" r="76200" b="95250"/>
                <wp:wrapNone/>
                <wp:docPr id="4" name="Oval 4"/>
                <wp:cNvGraphicFramePr/>
                <a:graphic xmlns:a="http://schemas.openxmlformats.org/drawingml/2006/main">
                  <a:graphicData uri="http://schemas.microsoft.com/office/word/2010/wordprocessingShape">
                    <wps:wsp>
                      <wps:cNvSpPr/>
                      <wps:spPr>
                        <a:xfrm>
                          <a:off x="0" y="0"/>
                          <a:ext cx="1752600" cy="590550"/>
                        </a:xfrm>
                        <a:prstGeom prst="ellipse">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 o:spid="_x0000_s1026" style="position:absolute;margin-left:-12.45pt;margin-top:30.3pt;width:138pt;height:46.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" filled="f" strokecolor="red">
                <v:shadow on="t" color="black" opacity="22937f" origin=",.5" offset="0,.63889mm"/>
              </v:oval>
            </w:pict>
          </mc:Fallback>
        </mc:AlternateContent>
      </w:r>
      <w:r w:rsidR="008D3689" w:rsidRPr="006D6A5E">
        <w:rPr>
          <w:rFonts w:ascii="Calibri" w:hAnsi="Calibri"/>
          <w:noProof/>
          <w:sz w:val="22"/>
          <w:lang w:val="en-US"/>
        </w:rPr>
        <w:drawing>
          <wp:inline distT="0" distB="0" distL="0" distR="0" wp14:anchorId="5E2263A1" wp14:editId="6854F0CD">
            <wp:extent cx="4471995" cy="27432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476494" cy="2745960"/>
                    </a:xfrm>
                    <a:prstGeom prst="rect">
                      <a:avLst/>
                    </a:prstGeom>
                  </pic:spPr>
                </pic:pic>
              </a:graphicData>
            </a:graphic>
          </wp:inline>
        </w:drawing>
      </w:r>
      <w:r w:rsidR="008D3689" w:rsidRPr="006D6A5E">
        <w:rPr>
          <w:rFonts w:ascii="Calibri" w:hAnsi="Calibri"/>
          <w:noProof/>
          <w:sz w:val="22"/>
          <w:lang w:eastAsia="da-DK"/>
        </w:rPr>
        <w:t xml:space="preserve"> </w:t>
      </w:r>
      <w:r w:rsidR="008D3689" w:rsidRPr="006D6A5E">
        <w:rPr>
          <w:rFonts w:ascii="Calibri" w:hAnsi="Calibri"/>
          <w:noProof/>
          <w:sz w:val="22"/>
          <w:lang w:val="en-US"/>
        </w:rPr>
        <w:drawing>
          <wp:inline distT="0" distB="0" distL="0" distR="0" wp14:anchorId="1DA6D618" wp14:editId="24702698">
            <wp:extent cx="3366102" cy="2735885"/>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362607" cy="2733044"/>
                    </a:xfrm>
                    <a:prstGeom prst="rect">
                      <a:avLst/>
                    </a:prstGeom>
                  </pic:spPr>
                </pic:pic>
              </a:graphicData>
            </a:graphic>
          </wp:inline>
        </w:drawing>
      </w:r>
    </w:p>
    <w:p w:rsidR="00B15105" w:rsidRPr="00ED6DB7" w:rsidRDefault="00B15105" w:rsidP="008D3689">
      <w:pPr>
        <w:spacing w:line="276" w:lineRule="auto"/>
        <w:jc w:val="left"/>
        <w:rPr>
          <w:rFonts w:cs="Arial"/>
          <w:b/>
          <w:color w:val="FF0000"/>
          <w:szCs w:val="20"/>
        </w:rPr>
      </w:pPr>
      <w:r w:rsidRPr="00BC3779">
        <w:rPr>
          <w:rFonts w:cs="Arial"/>
          <w:b/>
          <w:color w:val="FF0000"/>
          <w:szCs w:val="20"/>
        </w:rPr>
        <w:t xml:space="preserve">The 29.65 MHz </w:t>
      </w:r>
      <w:proofErr w:type="spellStart"/>
      <w:r w:rsidRPr="00BC3779">
        <w:rPr>
          <w:rFonts w:cs="Arial"/>
          <w:b/>
          <w:color w:val="FF0000"/>
          <w:szCs w:val="20"/>
        </w:rPr>
        <w:t>channeli</w:t>
      </w:r>
      <w:r w:rsidR="005B3562" w:rsidRPr="00252C7C">
        <w:rPr>
          <w:rFonts w:cs="Arial"/>
          <w:b/>
          <w:color w:val="FF0000"/>
          <w:szCs w:val="20"/>
        </w:rPr>
        <w:t>s</w:t>
      </w:r>
      <w:r w:rsidRPr="00252C7C">
        <w:rPr>
          <w:rFonts w:cs="Arial"/>
          <w:b/>
          <w:color w:val="FF0000"/>
          <w:szCs w:val="20"/>
        </w:rPr>
        <w:t>ation</w:t>
      </w:r>
      <w:proofErr w:type="spellEnd"/>
      <w:r w:rsidRPr="00252C7C">
        <w:rPr>
          <w:rFonts w:cs="Arial"/>
          <w:b/>
          <w:color w:val="FF0000"/>
          <w:szCs w:val="20"/>
        </w:rPr>
        <w:t xml:space="preserve"> arrangement is nowadays the </w:t>
      </w:r>
      <w:r w:rsidR="0015283A" w:rsidRPr="00326E9B">
        <w:rPr>
          <w:rFonts w:cs="Arial"/>
          <w:b/>
          <w:color w:val="FF0000"/>
          <w:szCs w:val="20"/>
        </w:rPr>
        <w:t xml:space="preserve">by far </w:t>
      </w:r>
      <w:r w:rsidRPr="00326E9B">
        <w:rPr>
          <w:rFonts w:cs="Arial"/>
          <w:b/>
          <w:color w:val="FF0000"/>
          <w:szCs w:val="20"/>
        </w:rPr>
        <w:t>dominant use. Operators rather change the modulation than the bandwidth following the</w:t>
      </w:r>
      <w:r w:rsidR="0015283A" w:rsidRPr="00326E9B">
        <w:rPr>
          <w:rFonts w:cs="Arial"/>
          <w:b/>
          <w:color w:val="FF0000"/>
          <w:szCs w:val="20"/>
        </w:rPr>
        <w:t xml:space="preserve">ir net </w:t>
      </w:r>
      <w:r w:rsidRPr="00326E9B">
        <w:rPr>
          <w:rFonts w:cs="Arial"/>
          <w:b/>
          <w:color w:val="FF0000"/>
          <w:szCs w:val="20"/>
        </w:rPr>
        <w:t xml:space="preserve">capacity requirements. 59.3 MHz used </w:t>
      </w:r>
      <w:r w:rsidR="0015283A" w:rsidRPr="00326E9B">
        <w:rPr>
          <w:rFonts w:cs="Arial"/>
          <w:b/>
          <w:color w:val="FF0000"/>
          <w:szCs w:val="20"/>
        </w:rPr>
        <w:t xml:space="preserve">for some high capacity links. </w:t>
      </w:r>
      <w:proofErr w:type="gramStart"/>
      <w:r w:rsidR="0015283A" w:rsidRPr="00326E9B">
        <w:rPr>
          <w:rFonts w:cs="Arial"/>
          <w:b/>
          <w:color w:val="FF0000"/>
          <w:szCs w:val="20"/>
        </w:rPr>
        <w:t>Some additional use of narrower channels to be expected in the future.</w:t>
      </w:r>
      <w:proofErr w:type="gramEnd"/>
    </w:p>
    <w:p w:rsidR="008D3689" w:rsidRPr="00935E91" w:rsidRDefault="008D3689" w:rsidP="008D3689">
      <w:pPr>
        <w:spacing w:line="276" w:lineRule="auto"/>
        <w:jc w:val="left"/>
        <w:rPr>
          <w:rFonts w:cs="Arial"/>
          <w:b/>
          <w:szCs w:val="20"/>
        </w:rPr>
      </w:pPr>
      <w:r w:rsidRPr="006D5611">
        <w:rPr>
          <w:rFonts w:cs="Arial"/>
          <w:b/>
          <w:szCs w:val="20"/>
        </w:rPr>
        <w:t>Additional information under question 3:</w:t>
      </w:r>
    </w:p>
    <w:tbl>
      <w:tblPr>
        <w:tblStyle w:val="Question-group-table1"/>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1920"/>
        <w:gridCol w:w="12593"/>
      </w:tblGrid>
      <w:tr w:rsidR="008D3689" w:rsidRPr="00935E91"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jc w:val="center"/>
              <w:rPr>
                <w:rFonts w:eastAsia="Times New Roman"/>
                <w:sz w:val="24"/>
                <w:szCs w:val="24"/>
                <w:bdr w:val="nil"/>
              </w:rPr>
            </w:pPr>
            <w:r w:rsidRPr="006D6A5E">
              <w:rPr>
                <w:rFonts w:ascii="Verdana" w:eastAsia="Verdana" w:hAnsi="Verdana" w:cs="Verdana"/>
                <w:b/>
                <w:bCs/>
                <w:sz w:val="18"/>
                <w:szCs w:val="18"/>
                <w:bdr w:val="nil"/>
              </w:rPr>
              <w:t> </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jc w:val="center"/>
              <w:rPr>
                <w:rFonts w:eastAsia="Times New Roman"/>
                <w:sz w:val="24"/>
                <w:szCs w:val="24"/>
                <w:bdr w:val="nil"/>
              </w:rPr>
            </w:pPr>
            <w:r w:rsidRPr="00935E91">
              <w:rPr>
                <w:rFonts w:ascii="Verdana" w:eastAsia="Verdana" w:hAnsi="Verdana" w:cs="Verdana"/>
                <w:b/>
                <w:bCs/>
                <w:sz w:val="18"/>
                <w:szCs w:val="18"/>
                <w:bdr w:val="nil"/>
              </w:rPr>
              <w:t xml:space="preserve">Please indicate which part(s) of the band, and reasons. See excel sheet in the introduction (Please indicate which part(s) of the band, possibly timeframes and reasons.) </w:t>
            </w:r>
          </w:p>
        </w:tc>
      </w:tr>
      <w:tr w:rsidR="008D3689" w:rsidRPr="00935E91"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rPr>
                <w:rFonts w:eastAsia="Times New Roman"/>
                <w:sz w:val="24"/>
                <w:szCs w:val="24"/>
                <w:bdr w:val="nil"/>
              </w:rPr>
            </w:pPr>
            <w:r w:rsidRPr="006D6A5E">
              <w:rPr>
                <w:rFonts w:ascii="Verdana" w:eastAsia="Verdana" w:hAnsi="Verdana" w:cs="Verdana"/>
                <w:sz w:val="18"/>
                <w:szCs w:val="18"/>
                <w:bdr w:val="nil"/>
              </w:rPr>
              <w:t>France</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rPr>
                <w:rFonts w:eastAsia="Times New Roman"/>
                <w:sz w:val="24"/>
                <w:szCs w:val="24"/>
                <w:bdr w:val="nil"/>
              </w:rPr>
            </w:pPr>
            <w:r w:rsidRPr="00935E91">
              <w:rPr>
                <w:rFonts w:ascii="Verdana" w:eastAsia="Verdana" w:hAnsi="Verdana" w:cs="Verdana"/>
                <w:sz w:val="18"/>
                <w:szCs w:val="18"/>
                <w:bdr w:val="nil"/>
              </w:rPr>
              <w:t xml:space="preserve">The whole band is important. This band is used by fixed links over distances in the range of 30 to 60 km using the </w:t>
            </w:r>
            <w:proofErr w:type="spellStart"/>
            <w:r w:rsidRPr="00935E91">
              <w:rPr>
                <w:rFonts w:ascii="Verdana" w:eastAsia="Verdana" w:hAnsi="Verdana" w:cs="Verdana"/>
                <w:sz w:val="18"/>
                <w:szCs w:val="18"/>
                <w:bdr w:val="nil"/>
              </w:rPr>
              <w:t>channeling</w:t>
            </w:r>
            <w:proofErr w:type="spellEnd"/>
            <w:r w:rsidRPr="00935E91">
              <w:rPr>
                <w:rFonts w:ascii="Verdana" w:eastAsia="Verdana" w:hAnsi="Verdana" w:cs="Verdana"/>
                <w:sz w:val="18"/>
                <w:szCs w:val="18"/>
                <w:bdr w:val="nil"/>
              </w:rPr>
              <w:t xml:space="preserve"> arrangements defined in ERC Recommendation Rec 14-01. These links aggregate the traffic of tens of mobile base stations and are regularly upgraded to cope with the ever increasing traffic of the mobile networks. These links use a channel bandwidth of 29.5 </w:t>
            </w:r>
            <w:proofErr w:type="spellStart"/>
            <w:r w:rsidRPr="00935E91">
              <w:rPr>
                <w:rFonts w:ascii="Verdana" w:eastAsia="Verdana" w:hAnsi="Verdana" w:cs="Verdana"/>
                <w:sz w:val="18"/>
                <w:szCs w:val="18"/>
                <w:bdr w:val="nil"/>
              </w:rPr>
              <w:t>MHz.</w:t>
            </w:r>
            <w:proofErr w:type="spellEnd"/>
            <w:r w:rsidRPr="00935E91">
              <w:rPr>
                <w:rFonts w:ascii="Verdana" w:eastAsia="Verdana" w:hAnsi="Verdana" w:cs="Verdana"/>
                <w:sz w:val="18"/>
                <w:szCs w:val="18"/>
                <w:bdr w:val="nil"/>
              </w:rPr>
              <w:t xml:space="preserve"> </w:t>
            </w:r>
            <w:r w:rsidRPr="00935E91">
              <w:rPr>
                <w:rFonts w:ascii="Verdana" w:eastAsia="Verdana" w:hAnsi="Verdana" w:cs="Verdana"/>
                <w:sz w:val="18"/>
                <w:szCs w:val="18"/>
                <w:bdr w:val="nil"/>
              </w:rPr>
              <w:br/>
              <w:t xml:space="preserve">Moreover, In order to implement the upcoming EC decision, harmonizing the L-band extensions for terrestrial systems capable of providing electronic communications services, France intends to migrate the narrowband fixed links currently operated in this band to the 5925 – 6425 MHz band following the </w:t>
            </w:r>
            <w:proofErr w:type="spellStart"/>
            <w:r w:rsidRPr="00935E91">
              <w:rPr>
                <w:rFonts w:ascii="Verdana" w:eastAsia="Verdana" w:hAnsi="Verdana" w:cs="Verdana"/>
                <w:sz w:val="18"/>
                <w:szCs w:val="18"/>
                <w:bdr w:val="nil"/>
              </w:rPr>
              <w:t>channeling</w:t>
            </w:r>
            <w:proofErr w:type="spellEnd"/>
            <w:r w:rsidRPr="00935E91">
              <w:rPr>
                <w:rFonts w:ascii="Verdana" w:eastAsia="Verdana" w:hAnsi="Verdana" w:cs="Verdana"/>
                <w:sz w:val="18"/>
                <w:szCs w:val="18"/>
                <w:bdr w:val="nil"/>
              </w:rPr>
              <w:t xml:space="preserve"> arrangements for the 6 GHz range based on ECC Recommendation 14(06) </w:t>
            </w:r>
          </w:p>
        </w:tc>
      </w:tr>
      <w:tr w:rsidR="008D3689" w:rsidRPr="00935E91" w:rsidTr="00474FD2">
        <w:trPr>
          <w:tblCellSpacing w:w="15" w:type="dxa"/>
        </w:trPr>
        <w:tc>
          <w:tcPr>
            <w:tcW w:w="187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rPr>
                <w:rFonts w:eastAsia="Times New Roman"/>
                <w:sz w:val="24"/>
                <w:szCs w:val="24"/>
                <w:bdr w:val="nil"/>
              </w:rPr>
            </w:pPr>
            <w:r w:rsidRPr="006D6A5E">
              <w:rPr>
                <w:rFonts w:ascii="Verdana" w:eastAsia="Verdana" w:hAnsi="Verdana" w:cs="Verdana"/>
                <w:sz w:val="18"/>
                <w:szCs w:val="18"/>
                <w:bdr w:val="nil"/>
              </w:rPr>
              <w:t>United Kingdom</w:t>
            </w:r>
          </w:p>
        </w:tc>
        <w:tc>
          <w:tcPr>
            <w:tcW w:w="1254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D3689" w:rsidRPr="00935E91" w:rsidRDefault="008D3689" w:rsidP="009C222C">
            <w:pPr>
              <w:rPr>
                <w:rFonts w:eastAsia="Times New Roman"/>
                <w:sz w:val="24"/>
                <w:szCs w:val="24"/>
                <w:bdr w:val="nil"/>
              </w:rPr>
            </w:pPr>
            <w:r w:rsidRPr="00935E91">
              <w:rPr>
                <w:rFonts w:ascii="Verdana" w:eastAsia="Verdana" w:hAnsi="Verdana" w:cs="Verdana"/>
                <w:sz w:val="18"/>
                <w:szCs w:val="18"/>
                <w:bdr w:val="nil"/>
              </w:rPr>
              <w:t xml:space="preserve">5925-6425 MHz remains an important band for fixed links and our strategy is to continue enabling access of the whole band for fixed wireless links. Our strategy is also to explore smaller bandwidth channels (3.5 MHz and below) in the </w:t>
            </w:r>
            <w:proofErr w:type="spellStart"/>
            <w:r w:rsidRPr="00935E91">
              <w:rPr>
                <w:rFonts w:ascii="Verdana" w:eastAsia="Verdana" w:hAnsi="Verdana" w:cs="Verdana"/>
                <w:sz w:val="18"/>
                <w:szCs w:val="18"/>
                <w:bdr w:val="nil"/>
              </w:rPr>
              <w:t>center</w:t>
            </w:r>
            <w:proofErr w:type="spellEnd"/>
            <w:r w:rsidRPr="00935E91">
              <w:rPr>
                <w:rFonts w:ascii="Verdana" w:eastAsia="Verdana" w:hAnsi="Verdana" w:cs="Verdana"/>
                <w:sz w:val="18"/>
                <w:szCs w:val="18"/>
                <w:bdr w:val="nil"/>
              </w:rPr>
              <w:t xml:space="preserve"> gap and guard bands within the existing channel plans at 6 GHz for low capacity fixed links. </w:t>
            </w:r>
          </w:p>
        </w:tc>
      </w:tr>
    </w:tbl>
    <w:p w:rsidR="001B0D52" w:rsidRDefault="001B0D52" w:rsidP="001B0D52">
      <w:pPr>
        <w:rPr>
          <w:rFonts w:cs="Arial"/>
          <w:b/>
          <w:szCs w:val="20"/>
        </w:rPr>
      </w:pPr>
      <w:r w:rsidRPr="00252C7C">
        <w:rPr>
          <w:rFonts w:cs="Arial"/>
          <w:b/>
          <w:szCs w:val="20"/>
        </w:rPr>
        <w:lastRenderedPageBreak/>
        <w:t>Question 4: Please describe the distribution of links and their minimum, average, maximum link distance in densely, intermediate and sparsely populated areas re</w:t>
      </w:r>
      <w:r w:rsidRPr="00326E9B">
        <w:rPr>
          <w:rFonts w:cs="Arial"/>
          <w:b/>
          <w:szCs w:val="20"/>
        </w:rPr>
        <w:t>spectively? Please indicate the distribution of usage given various geographical areas, ranging from city area to rural areas, in Table 1</w:t>
      </w:r>
      <w:r w:rsidRPr="00ED6DB7">
        <w:rPr>
          <w:rFonts w:cs="Arial"/>
          <w:b/>
          <w:szCs w:val="20"/>
        </w:rPr>
        <w:t xml:space="preserve"> (spreadsheet)</w:t>
      </w:r>
    </w:p>
    <w:p w:rsidR="00935E91" w:rsidRDefault="006D5611" w:rsidP="001B0D52">
      <w:pPr>
        <w:rPr>
          <w:rFonts w:cs="Arial"/>
          <w:szCs w:val="20"/>
        </w:rPr>
      </w:pPr>
      <w:r>
        <w:rPr>
          <w:rFonts w:cs="Arial"/>
          <w:szCs w:val="20"/>
        </w:rPr>
        <w:t>Information on the distribution of links in densely</w:t>
      </w:r>
      <w:r w:rsidR="00935E91">
        <w:rPr>
          <w:rFonts w:cs="Arial"/>
          <w:szCs w:val="20"/>
        </w:rPr>
        <w:t>,</w:t>
      </w:r>
      <w:r>
        <w:rPr>
          <w:rFonts w:cs="Arial"/>
          <w:szCs w:val="20"/>
        </w:rPr>
        <w:t xml:space="preserve"> </w:t>
      </w:r>
      <w:proofErr w:type="gramStart"/>
      <w:r>
        <w:rPr>
          <w:rFonts w:cs="Arial"/>
          <w:szCs w:val="20"/>
        </w:rPr>
        <w:t>intermediate and sparsely populated areas was</w:t>
      </w:r>
      <w:proofErr w:type="gramEnd"/>
      <w:r>
        <w:rPr>
          <w:rFonts w:cs="Arial"/>
          <w:szCs w:val="20"/>
        </w:rPr>
        <w:t xml:space="preserve"> provided in relation to </w:t>
      </w:r>
      <w:r w:rsidR="007322FA">
        <w:rPr>
          <w:rFonts w:cs="Arial"/>
          <w:szCs w:val="20"/>
        </w:rPr>
        <w:t xml:space="preserve">9586 </w:t>
      </w:r>
      <w:r w:rsidR="00935E91">
        <w:rPr>
          <w:rFonts w:cs="Arial"/>
          <w:szCs w:val="20"/>
        </w:rPr>
        <w:t xml:space="preserve">FS links (out of a total number of </w:t>
      </w:r>
      <w:r w:rsidR="001D5DF4">
        <w:rPr>
          <w:rFonts w:cs="Arial"/>
          <w:szCs w:val="20"/>
        </w:rPr>
        <w:t>11738</w:t>
      </w:r>
      <w:r w:rsidR="00935E91">
        <w:rPr>
          <w:rFonts w:cs="Arial"/>
          <w:szCs w:val="20"/>
        </w:rPr>
        <w:t xml:space="preserve">). </w:t>
      </w:r>
      <w:r w:rsidR="001D5DF4">
        <w:rPr>
          <w:rFonts w:cs="Arial"/>
          <w:szCs w:val="20"/>
        </w:rPr>
        <w:t xml:space="preserve">Nearly </w:t>
      </w:r>
      <w:r w:rsidR="007322FA">
        <w:rPr>
          <w:rFonts w:cs="Arial"/>
          <w:szCs w:val="20"/>
        </w:rPr>
        <w:t>half of</w:t>
      </w:r>
      <w:r w:rsidR="00935E91">
        <w:rPr>
          <w:rFonts w:cs="Arial"/>
          <w:szCs w:val="20"/>
        </w:rPr>
        <w:t xml:space="preserve"> FS links is located in sparsely populated areas, although the number of FS links in densely and intermediate populated areas is also significant. </w:t>
      </w:r>
      <w:r w:rsidR="00C91376">
        <w:rPr>
          <w:rFonts w:cs="Arial"/>
          <w:szCs w:val="20"/>
        </w:rPr>
        <w:t>Note that the distribution varies country-by-country as mandated by the population distribution, size of the country and topology (e.g. Russian Federation is different compared with the Netherlands).</w:t>
      </w:r>
    </w:p>
    <w:p w:rsidR="006D5611" w:rsidRDefault="00935E91" w:rsidP="001B0D52">
      <w:pPr>
        <w:rPr>
          <w:rFonts w:cs="Arial"/>
          <w:szCs w:val="20"/>
        </w:rPr>
      </w:pPr>
      <w:r>
        <w:rPr>
          <w:rFonts w:cs="Arial"/>
          <w:szCs w:val="20"/>
        </w:rPr>
        <w:t>A detailed overview of the responses is provided below both in relation to the number and percentage of FS links.</w:t>
      </w:r>
    </w:p>
    <w:p w:rsidR="00935E91" w:rsidRDefault="00935E91" w:rsidP="001B0D52">
      <w:pPr>
        <w:rPr>
          <w:rFonts w:cs="Arial"/>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2"/>
        <w:gridCol w:w="7252"/>
      </w:tblGrid>
      <w:tr w:rsidR="00935E91" w:rsidTr="007322FA">
        <w:trPr>
          <w:jc w:val="center"/>
        </w:trPr>
        <w:tc>
          <w:tcPr>
            <w:tcW w:w="7252" w:type="dxa"/>
          </w:tcPr>
          <w:p w:rsidR="00935E91" w:rsidRPr="00A4751E" w:rsidRDefault="001D5DF4" w:rsidP="001B0D52">
            <w:pPr>
              <w:rPr>
                <w:rFonts w:cs="Arial"/>
                <w:szCs w:val="20"/>
              </w:rPr>
            </w:pPr>
            <w:r>
              <w:rPr>
                <w:rFonts w:cs="Arial"/>
                <w:noProof/>
                <w:szCs w:val="20"/>
                <w:lang w:val="en-US"/>
              </w:rPr>
              <w:drawing>
                <wp:inline distT="0" distB="0" distL="0" distR="0" wp14:anchorId="12BBA520">
                  <wp:extent cx="4438650" cy="2963801"/>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44974" cy="2968024"/>
                          </a:xfrm>
                          <a:prstGeom prst="rect">
                            <a:avLst/>
                          </a:prstGeom>
                          <a:noFill/>
                        </pic:spPr>
                      </pic:pic>
                    </a:graphicData>
                  </a:graphic>
                </wp:inline>
              </w:drawing>
            </w:r>
          </w:p>
        </w:tc>
        <w:tc>
          <w:tcPr>
            <w:tcW w:w="7252" w:type="dxa"/>
          </w:tcPr>
          <w:p w:rsidR="00935E91" w:rsidRDefault="001D5DF4" w:rsidP="001B0D52">
            <w:pPr>
              <w:rPr>
                <w:rFonts w:cs="Arial"/>
                <w:szCs w:val="20"/>
              </w:rPr>
            </w:pPr>
            <w:r>
              <w:rPr>
                <w:rFonts w:cs="Arial"/>
                <w:noProof/>
                <w:szCs w:val="20"/>
                <w:lang w:val="en-US"/>
              </w:rPr>
              <w:drawing>
                <wp:inline distT="0" distB="0" distL="0" distR="0" wp14:anchorId="54D1B7D9">
                  <wp:extent cx="4445000" cy="2963211"/>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46947" cy="2964509"/>
                          </a:xfrm>
                          <a:prstGeom prst="rect">
                            <a:avLst/>
                          </a:prstGeom>
                          <a:noFill/>
                        </pic:spPr>
                      </pic:pic>
                    </a:graphicData>
                  </a:graphic>
                </wp:inline>
              </w:drawing>
            </w:r>
          </w:p>
        </w:tc>
      </w:tr>
    </w:tbl>
    <w:p w:rsidR="00F66350" w:rsidRDefault="00F66350">
      <w:pPr>
        <w:rPr>
          <w:rFonts w:cs="Arial"/>
          <w:szCs w:val="20"/>
        </w:rPr>
      </w:pPr>
      <w:r>
        <w:rPr>
          <w:rFonts w:cs="Arial"/>
          <w:szCs w:val="20"/>
        </w:rPr>
        <w:br w:type="page"/>
      </w:r>
    </w:p>
    <w:p w:rsidR="009C222C" w:rsidRDefault="009C222C" w:rsidP="00474FD2">
      <w:pPr>
        <w:spacing w:line="276" w:lineRule="auto"/>
        <w:jc w:val="left"/>
        <w:rPr>
          <w:rFonts w:cs="Arial"/>
          <w:szCs w:val="20"/>
        </w:rPr>
      </w:pPr>
      <w:r>
        <w:rPr>
          <w:rFonts w:cs="Arial"/>
          <w:szCs w:val="20"/>
        </w:rPr>
        <w:lastRenderedPageBreak/>
        <w:t>The information on the minimum, maximum and average FS link distance</w:t>
      </w:r>
      <w:r w:rsidR="00995F2E">
        <w:rPr>
          <w:rFonts w:cs="Arial"/>
          <w:szCs w:val="20"/>
        </w:rPr>
        <w:t xml:space="preserve"> in areas with dense, intermediate or sparse population density</w:t>
      </w:r>
      <w:r>
        <w:rPr>
          <w:rFonts w:cs="Arial"/>
          <w:szCs w:val="20"/>
        </w:rPr>
        <w:t xml:space="preserve"> was provided by CEPT administration </w:t>
      </w:r>
      <w:r w:rsidR="006D6A5E">
        <w:rPr>
          <w:rFonts w:cs="Arial"/>
          <w:szCs w:val="20"/>
        </w:rPr>
        <w:t>in relation to</w:t>
      </w:r>
      <w:r>
        <w:rPr>
          <w:rFonts w:cs="Arial"/>
          <w:szCs w:val="20"/>
        </w:rPr>
        <w:t xml:space="preserve"> a set of </w:t>
      </w:r>
      <w:r w:rsidR="00995F2E">
        <w:rPr>
          <w:rFonts w:cs="Arial"/>
          <w:szCs w:val="20"/>
        </w:rPr>
        <w:t>8440</w:t>
      </w:r>
      <w:r>
        <w:rPr>
          <w:rFonts w:cs="Arial"/>
          <w:szCs w:val="20"/>
        </w:rPr>
        <w:t xml:space="preserve"> links (out of a total of </w:t>
      </w:r>
      <w:r w:rsidR="001D5DF4">
        <w:rPr>
          <w:rFonts w:cs="Arial"/>
          <w:szCs w:val="20"/>
        </w:rPr>
        <w:t>11738</w:t>
      </w:r>
      <w:r>
        <w:rPr>
          <w:rFonts w:cs="Arial"/>
          <w:szCs w:val="20"/>
        </w:rPr>
        <w:t>).</w:t>
      </w:r>
    </w:p>
    <w:p w:rsidR="00474FD2" w:rsidRDefault="00F66350" w:rsidP="00474FD2">
      <w:pPr>
        <w:spacing w:line="276" w:lineRule="auto"/>
        <w:jc w:val="left"/>
        <w:rPr>
          <w:rFonts w:cs="Arial"/>
          <w:szCs w:val="20"/>
        </w:rPr>
      </w:pPr>
      <w:r>
        <w:rPr>
          <w:rFonts w:cs="Arial"/>
          <w:szCs w:val="20"/>
        </w:rPr>
        <w:t xml:space="preserve">The minimum and maximum </w:t>
      </w:r>
      <w:r w:rsidR="00056497">
        <w:rPr>
          <w:rFonts w:cs="Arial"/>
          <w:szCs w:val="20"/>
        </w:rPr>
        <w:t xml:space="preserve">FS link </w:t>
      </w:r>
      <w:r>
        <w:rPr>
          <w:rFonts w:cs="Arial"/>
          <w:szCs w:val="20"/>
        </w:rPr>
        <w:t>distances vary in the range indicated in the table below for areas with different population density:</w:t>
      </w:r>
    </w:p>
    <w:p w:rsidR="004E4164" w:rsidRDefault="004E4164" w:rsidP="00474FD2">
      <w:pPr>
        <w:spacing w:line="276" w:lineRule="auto"/>
        <w:jc w:val="left"/>
        <w:rPr>
          <w:rFonts w:cs="Arial"/>
          <w:szCs w:val="20"/>
        </w:rPr>
      </w:pPr>
    </w:p>
    <w:tbl>
      <w:tblPr>
        <w:tblStyle w:val="ECCTable-redheader"/>
        <w:tblW w:w="0" w:type="auto"/>
        <w:tblInd w:w="0" w:type="dxa"/>
        <w:tblLook w:val="04A0" w:firstRow="1" w:lastRow="0" w:firstColumn="1" w:lastColumn="0" w:noHBand="0" w:noVBand="1"/>
      </w:tblPr>
      <w:tblGrid>
        <w:gridCol w:w="2005"/>
        <w:gridCol w:w="4073"/>
        <w:gridCol w:w="4117"/>
      </w:tblGrid>
      <w:tr w:rsidR="00F66350" w:rsidRPr="006D6A5E" w:rsidTr="006D6A5E">
        <w:trPr>
          <w:cnfStyle w:val="100000000000" w:firstRow="1" w:lastRow="0" w:firstColumn="0" w:lastColumn="0" w:oddVBand="0" w:evenVBand="0" w:oddHBand="0" w:evenHBand="0" w:firstRowFirstColumn="0" w:firstRowLastColumn="0" w:lastRowFirstColumn="0" w:lastRowLastColumn="0"/>
        </w:trPr>
        <w:tc>
          <w:tcPr>
            <w:tcW w:w="0" w:type="auto"/>
          </w:tcPr>
          <w:p w:rsidR="00F66350" w:rsidRPr="006D6A5E" w:rsidRDefault="00F66350" w:rsidP="00474FD2">
            <w:pPr>
              <w:spacing w:line="276" w:lineRule="auto"/>
              <w:jc w:val="left"/>
              <w:rPr>
                <w:rFonts w:cs="Arial"/>
                <w:b w:val="0"/>
                <w:i w:val="0"/>
                <w:szCs w:val="20"/>
              </w:rPr>
            </w:pPr>
            <w:r w:rsidRPr="006D6A5E">
              <w:rPr>
                <w:rFonts w:cs="Arial"/>
                <w:i w:val="0"/>
                <w:szCs w:val="20"/>
              </w:rPr>
              <w:t>Population density</w:t>
            </w:r>
          </w:p>
        </w:tc>
        <w:tc>
          <w:tcPr>
            <w:tcW w:w="0" w:type="auto"/>
          </w:tcPr>
          <w:p w:rsidR="00F66350" w:rsidRPr="006D6A5E" w:rsidRDefault="00F66350" w:rsidP="006D6A5E">
            <w:pPr>
              <w:spacing w:line="276" w:lineRule="auto"/>
              <w:rPr>
                <w:rFonts w:cs="Arial"/>
                <w:b w:val="0"/>
                <w:i w:val="0"/>
                <w:szCs w:val="20"/>
              </w:rPr>
            </w:pPr>
            <w:r w:rsidRPr="006D6A5E">
              <w:rPr>
                <w:rFonts w:cs="Arial"/>
                <w:i w:val="0"/>
                <w:szCs w:val="20"/>
              </w:rPr>
              <w:t>Range of minimum FS link distance</w:t>
            </w:r>
            <w:r w:rsidR="006D6A5E">
              <w:rPr>
                <w:rFonts w:cs="Arial"/>
                <w:i w:val="0"/>
                <w:szCs w:val="20"/>
              </w:rPr>
              <w:t xml:space="preserve"> (km)</w:t>
            </w:r>
          </w:p>
        </w:tc>
        <w:tc>
          <w:tcPr>
            <w:tcW w:w="0" w:type="auto"/>
          </w:tcPr>
          <w:p w:rsidR="00F66350" w:rsidRPr="006D6A5E" w:rsidRDefault="00F66350" w:rsidP="00F66350">
            <w:pPr>
              <w:spacing w:line="276" w:lineRule="auto"/>
              <w:rPr>
                <w:rFonts w:cs="Arial"/>
                <w:b w:val="0"/>
                <w:i w:val="0"/>
                <w:szCs w:val="20"/>
              </w:rPr>
            </w:pPr>
            <w:r w:rsidRPr="006D6A5E">
              <w:rPr>
                <w:rFonts w:cs="Arial"/>
                <w:i w:val="0"/>
                <w:szCs w:val="20"/>
              </w:rPr>
              <w:t>Range of maximum FS link distance</w:t>
            </w:r>
            <w:r w:rsidR="006D6A5E">
              <w:rPr>
                <w:rFonts w:cs="Arial"/>
                <w:i w:val="0"/>
                <w:szCs w:val="20"/>
              </w:rPr>
              <w:t xml:space="preserve"> (km)</w:t>
            </w:r>
          </w:p>
        </w:tc>
      </w:tr>
      <w:tr w:rsidR="00F66350" w:rsidTr="006D6A5E">
        <w:tc>
          <w:tcPr>
            <w:tcW w:w="0" w:type="auto"/>
          </w:tcPr>
          <w:p w:rsidR="00F66350" w:rsidRPr="006D6A5E" w:rsidRDefault="00F66350" w:rsidP="00474FD2">
            <w:pPr>
              <w:spacing w:line="276" w:lineRule="auto"/>
              <w:jc w:val="left"/>
              <w:rPr>
                <w:rFonts w:cs="Arial"/>
                <w:b/>
                <w:szCs w:val="20"/>
              </w:rPr>
            </w:pPr>
            <w:r w:rsidRPr="006D6A5E">
              <w:rPr>
                <w:rFonts w:cs="Arial"/>
                <w:b/>
                <w:szCs w:val="20"/>
              </w:rPr>
              <w:t>Dense</w:t>
            </w:r>
          </w:p>
        </w:tc>
        <w:tc>
          <w:tcPr>
            <w:tcW w:w="0" w:type="auto"/>
          </w:tcPr>
          <w:p w:rsidR="00F66350" w:rsidRDefault="00F66350" w:rsidP="006D6A5E">
            <w:pPr>
              <w:spacing w:line="276" w:lineRule="auto"/>
              <w:jc w:val="center"/>
              <w:rPr>
                <w:rFonts w:cs="Arial"/>
                <w:szCs w:val="20"/>
              </w:rPr>
            </w:pPr>
            <w:r>
              <w:rPr>
                <w:rFonts w:cs="Arial"/>
                <w:szCs w:val="20"/>
              </w:rPr>
              <w:t>3 - 32</w:t>
            </w:r>
          </w:p>
        </w:tc>
        <w:tc>
          <w:tcPr>
            <w:tcW w:w="0" w:type="auto"/>
          </w:tcPr>
          <w:p w:rsidR="00F66350" w:rsidRDefault="00F66350" w:rsidP="006D6A5E">
            <w:pPr>
              <w:spacing w:line="276" w:lineRule="auto"/>
              <w:jc w:val="center"/>
              <w:rPr>
                <w:rFonts w:cs="Arial"/>
                <w:szCs w:val="20"/>
              </w:rPr>
            </w:pPr>
            <w:r>
              <w:rPr>
                <w:rFonts w:cs="Arial"/>
                <w:szCs w:val="20"/>
              </w:rPr>
              <w:t>4.5 - 98.1</w:t>
            </w:r>
          </w:p>
        </w:tc>
      </w:tr>
      <w:tr w:rsidR="00F66350" w:rsidTr="006D6A5E">
        <w:tc>
          <w:tcPr>
            <w:tcW w:w="0" w:type="auto"/>
          </w:tcPr>
          <w:p w:rsidR="00F66350" w:rsidRPr="006D6A5E" w:rsidRDefault="00F66350" w:rsidP="00474FD2">
            <w:pPr>
              <w:spacing w:line="276" w:lineRule="auto"/>
              <w:jc w:val="left"/>
              <w:rPr>
                <w:rFonts w:cs="Arial"/>
                <w:b/>
                <w:szCs w:val="20"/>
              </w:rPr>
            </w:pPr>
            <w:r w:rsidRPr="006D6A5E">
              <w:rPr>
                <w:rFonts w:cs="Arial"/>
                <w:b/>
                <w:szCs w:val="20"/>
              </w:rPr>
              <w:t>Intermediate</w:t>
            </w:r>
          </w:p>
        </w:tc>
        <w:tc>
          <w:tcPr>
            <w:tcW w:w="0" w:type="auto"/>
          </w:tcPr>
          <w:p w:rsidR="00F66350" w:rsidRDefault="00F66350" w:rsidP="006D6A5E">
            <w:pPr>
              <w:spacing w:line="276" w:lineRule="auto"/>
              <w:jc w:val="center"/>
              <w:rPr>
                <w:rFonts w:cs="Arial"/>
                <w:szCs w:val="20"/>
              </w:rPr>
            </w:pPr>
            <w:r>
              <w:rPr>
                <w:rFonts w:cs="Arial"/>
                <w:szCs w:val="20"/>
              </w:rPr>
              <w:t>0.016 - 31.87</w:t>
            </w:r>
          </w:p>
        </w:tc>
        <w:tc>
          <w:tcPr>
            <w:tcW w:w="0" w:type="auto"/>
          </w:tcPr>
          <w:p w:rsidR="00F66350" w:rsidRDefault="00F66350" w:rsidP="006D6A5E">
            <w:pPr>
              <w:spacing w:line="276" w:lineRule="auto"/>
              <w:jc w:val="center"/>
              <w:rPr>
                <w:rFonts w:cs="Arial"/>
                <w:szCs w:val="20"/>
              </w:rPr>
            </w:pPr>
            <w:r>
              <w:rPr>
                <w:rFonts w:cs="Arial"/>
                <w:szCs w:val="20"/>
              </w:rPr>
              <w:t>10 - 105.7</w:t>
            </w:r>
          </w:p>
        </w:tc>
      </w:tr>
      <w:tr w:rsidR="00F66350" w:rsidTr="006D6A5E">
        <w:tc>
          <w:tcPr>
            <w:tcW w:w="0" w:type="auto"/>
          </w:tcPr>
          <w:p w:rsidR="00F66350" w:rsidRPr="006D6A5E" w:rsidRDefault="00F66350" w:rsidP="00474FD2">
            <w:pPr>
              <w:spacing w:line="276" w:lineRule="auto"/>
              <w:jc w:val="left"/>
              <w:rPr>
                <w:rFonts w:cs="Arial"/>
                <w:b/>
                <w:szCs w:val="20"/>
              </w:rPr>
            </w:pPr>
            <w:r w:rsidRPr="006D6A5E">
              <w:rPr>
                <w:rFonts w:cs="Arial"/>
                <w:b/>
                <w:szCs w:val="20"/>
              </w:rPr>
              <w:t>Sparse</w:t>
            </w:r>
          </w:p>
        </w:tc>
        <w:tc>
          <w:tcPr>
            <w:tcW w:w="0" w:type="auto"/>
          </w:tcPr>
          <w:p w:rsidR="00F66350" w:rsidRDefault="00F66350" w:rsidP="006D6A5E">
            <w:pPr>
              <w:spacing w:line="276" w:lineRule="auto"/>
              <w:jc w:val="center"/>
              <w:rPr>
                <w:rFonts w:cs="Arial"/>
                <w:szCs w:val="20"/>
              </w:rPr>
            </w:pPr>
            <w:r>
              <w:rPr>
                <w:rFonts w:cs="Arial"/>
                <w:szCs w:val="20"/>
              </w:rPr>
              <w:t>5 - 60.5</w:t>
            </w:r>
          </w:p>
        </w:tc>
        <w:tc>
          <w:tcPr>
            <w:tcW w:w="0" w:type="auto"/>
          </w:tcPr>
          <w:p w:rsidR="00F66350" w:rsidRDefault="00F66350" w:rsidP="006D6A5E">
            <w:pPr>
              <w:spacing w:line="276" w:lineRule="auto"/>
              <w:jc w:val="center"/>
              <w:rPr>
                <w:rFonts w:cs="Arial"/>
                <w:szCs w:val="20"/>
              </w:rPr>
            </w:pPr>
            <w:r>
              <w:rPr>
                <w:rFonts w:cs="Arial"/>
                <w:szCs w:val="20"/>
              </w:rPr>
              <w:t>30 - 122</w:t>
            </w:r>
          </w:p>
        </w:tc>
      </w:tr>
    </w:tbl>
    <w:p w:rsidR="00F66350" w:rsidRDefault="008E330F" w:rsidP="00474FD2">
      <w:pPr>
        <w:spacing w:line="276" w:lineRule="auto"/>
        <w:jc w:val="left"/>
        <w:rPr>
          <w:rFonts w:cs="Arial"/>
          <w:szCs w:val="20"/>
        </w:rPr>
      </w:pPr>
      <w:r>
        <w:rPr>
          <w:rFonts w:cs="Arial"/>
          <w:szCs w:val="20"/>
        </w:rPr>
        <w:t xml:space="preserve">The following figures represent </w:t>
      </w:r>
      <w:r w:rsidR="00F66350">
        <w:rPr>
          <w:rFonts w:cs="Arial"/>
          <w:szCs w:val="20"/>
        </w:rPr>
        <w:t xml:space="preserve">the distribution </w:t>
      </w:r>
      <w:r>
        <w:rPr>
          <w:rFonts w:cs="Arial"/>
          <w:szCs w:val="20"/>
        </w:rPr>
        <w:t xml:space="preserve">of </w:t>
      </w:r>
      <w:r w:rsidR="00F66350">
        <w:rPr>
          <w:rFonts w:cs="Arial"/>
          <w:szCs w:val="20"/>
        </w:rPr>
        <w:t xml:space="preserve">minimum and maximum FS link distances </w:t>
      </w:r>
      <w:r>
        <w:rPr>
          <w:rFonts w:cs="Arial"/>
          <w:szCs w:val="20"/>
        </w:rPr>
        <w:t>respectively</w:t>
      </w:r>
      <w:r w:rsidR="00056497">
        <w:rPr>
          <w:rFonts w:cs="Arial"/>
          <w:szCs w:val="20"/>
        </w:rPr>
        <w:t>,</w:t>
      </w:r>
      <w:r>
        <w:rPr>
          <w:rFonts w:cs="Arial"/>
          <w:szCs w:val="20"/>
        </w:rPr>
        <w:t xml:space="preserve"> as provided by the respondent administrations</w:t>
      </w:r>
      <w:r w:rsidR="00F66350">
        <w:rPr>
          <w:rFonts w:cs="Arial"/>
          <w:szCs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6"/>
        <w:gridCol w:w="7178"/>
      </w:tblGrid>
      <w:tr w:rsidR="008E330F" w:rsidTr="00CA12C8">
        <w:tc>
          <w:tcPr>
            <w:tcW w:w="7326" w:type="dxa"/>
          </w:tcPr>
          <w:p w:rsidR="00F66350" w:rsidRDefault="00995F2E" w:rsidP="009C222C">
            <w:pPr>
              <w:rPr>
                <w:rFonts w:cs="Arial"/>
                <w:szCs w:val="20"/>
              </w:rPr>
            </w:pPr>
            <w:r>
              <w:rPr>
                <w:rFonts w:cs="Arial"/>
                <w:noProof/>
                <w:szCs w:val="20"/>
                <w:lang w:val="en-US"/>
              </w:rPr>
              <w:drawing>
                <wp:inline distT="0" distB="0" distL="0" distR="0" wp14:anchorId="5C6099AE" wp14:editId="00F48E6B">
                  <wp:extent cx="4508626" cy="2742892"/>
                  <wp:effectExtent l="0" t="0" r="635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2441" cy="2745213"/>
                          </a:xfrm>
                          <a:prstGeom prst="rect">
                            <a:avLst/>
                          </a:prstGeom>
                          <a:noFill/>
                        </pic:spPr>
                      </pic:pic>
                    </a:graphicData>
                  </a:graphic>
                </wp:inline>
              </w:drawing>
            </w:r>
          </w:p>
        </w:tc>
        <w:tc>
          <w:tcPr>
            <w:tcW w:w="7178" w:type="dxa"/>
          </w:tcPr>
          <w:p w:rsidR="00F66350" w:rsidRDefault="00995F2E" w:rsidP="009C222C">
            <w:pPr>
              <w:rPr>
                <w:rFonts w:cs="Arial"/>
                <w:szCs w:val="20"/>
              </w:rPr>
            </w:pPr>
            <w:r>
              <w:rPr>
                <w:rFonts w:cs="Arial"/>
                <w:noProof/>
                <w:szCs w:val="20"/>
                <w:lang w:val="en-US"/>
              </w:rPr>
              <w:drawing>
                <wp:inline distT="0" distB="0" distL="0" distR="0" wp14:anchorId="4108490E" wp14:editId="75E7820A">
                  <wp:extent cx="4390931" cy="269113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98952" cy="2696049"/>
                          </a:xfrm>
                          <a:prstGeom prst="rect">
                            <a:avLst/>
                          </a:prstGeom>
                          <a:noFill/>
                        </pic:spPr>
                      </pic:pic>
                    </a:graphicData>
                  </a:graphic>
                </wp:inline>
              </w:drawing>
            </w:r>
          </w:p>
        </w:tc>
      </w:tr>
    </w:tbl>
    <w:p w:rsidR="00A4751E" w:rsidRDefault="00A4751E" w:rsidP="009C222C">
      <w:pPr>
        <w:spacing w:line="276" w:lineRule="auto"/>
        <w:jc w:val="left"/>
        <w:rPr>
          <w:rFonts w:cs="Arial"/>
          <w:szCs w:val="20"/>
        </w:rPr>
      </w:pPr>
    </w:p>
    <w:p w:rsidR="007831FC" w:rsidRDefault="008E330F" w:rsidP="009C222C">
      <w:pPr>
        <w:spacing w:line="276" w:lineRule="auto"/>
        <w:jc w:val="left"/>
        <w:rPr>
          <w:rFonts w:cs="Arial"/>
          <w:szCs w:val="20"/>
        </w:rPr>
      </w:pPr>
      <w:r w:rsidRPr="00056497">
        <w:rPr>
          <w:rFonts w:cs="Arial"/>
          <w:szCs w:val="20"/>
        </w:rPr>
        <w:lastRenderedPageBreak/>
        <w:t>The</w:t>
      </w:r>
      <w:r w:rsidR="009C222C" w:rsidRPr="00056497">
        <w:rPr>
          <w:rFonts w:cs="Arial"/>
          <w:szCs w:val="20"/>
        </w:rPr>
        <w:t xml:space="preserve"> following figure </w:t>
      </w:r>
      <w:r w:rsidR="00056497" w:rsidRPr="00056497">
        <w:rPr>
          <w:rFonts w:cs="Arial"/>
          <w:szCs w:val="20"/>
        </w:rPr>
        <w:t>represents</w:t>
      </w:r>
      <w:r w:rsidR="009C222C" w:rsidRPr="00056497">
        <w:rPr>
          <w:rFonts w:cs="Arial"/>
          <w:szCs w:val="20"/>
        </w:rPr>
        <w:t xml:space="preserve"> the average FS link length (km) </w:t>
      </w:r>
      <w:r w:rsidR="00056497">
        <w:rPr>
          <w:rFonts w:cs="Arial"/>
          <w:szCs w:val="20"/>
        </w:rPr>
        <w:t xml:space="preserve">values </w:t>
      </w:r>
      <w:r w:rsidR="009C222C" w:rsidRPr="00056497">
        <w:rPr>
          <w:rFonts w:cs="Arial"/>
          <w:szCs w:val="20"/>
        </w:rPr>
        <w:t>in areas with different population density</w:t>
      </w:r>
      <w:r w:rsidR="00056497">
        <w:rPr>
          <w:rFonts w:cs="Arial"/>
          <w:szCs w:val="20"/>
        </w:rPr>
        <w:t>, as indicated by different CEPT administrations</w:t>
      </w:r>
      <w:r w:rsidR="00056497" w:rsidRPr="00056497">
        <w:rPr>
          <w:rFonts w:cs="Arial"/>
          <w:szCs w:val="20"/>
        </w:rPr>
        <w:t>. Higher piles wi</w:t>
      </w:r>
      <w:r w:rsidR="00056497">
        <w:rPr>
          <w:rFonts w:cs="Arial"/>
          <w:szCs w:val="20"/>
        </w:rPr>
        <w:t>thin a column indicate that corresponding average</w:t>
      </w:r>
      <w:r w:rsidR="00056497" w:rsidRPr="00056497">
        <w:rPr>
          <w:rFonts w:cs="Arial"/>
          <w:szCs w:val="20"/>
        </w:rPr>
        <w:t xml:space="preserve"> FS link distance indicated by an administration </w:t>
      </w:r>
      <w:r w:rsidR="00056497">
        <w:rPr>
          <w:rFonts w:cs="Arial"/>
          <w:szCs w:val="20"/>
        </w:rPr>
        <w:t>can be</w:t>
      </w:r>
      <w:r w:rsidR="00056497" w:rsidRPr="00056497">
        <w:rPr>
          <w:rFonts w:cs="Arial"/>
          <w:szCs w:val="20"/>
        </w:rPr>
        <w:t xml:space="preserve"> referred to a larger set of samples.</w:t>
      </w:r>
      <w:r w:rsidR="00056497">
        <w:rPr>
          <w:rFonts w:cs="Arial"/>
          <w:szCs w:val="20"/>
        </w:rPr>
        <w:t xml:space="preserve"> The cardinality of each set of samples is reported below the figure.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4"/>
        <w:gridCol w:w="6390"/>
      </w:tblGrid>
      <w:tr w:rsidR="007831FC" w:rsidTr="007831FC">
        <w:tc>
          <w:tcPr>
            <w:tcW w:w="7252" w:type="dxa"/>
          </w:tcPr>
          <w:p w:rsidR="007831FC" w:rsidRDefault="00995F2E" w:rsidP="009C222C">
            <w:pPr>
              <w:spacing w:line="276" w:lineRule="auto"/>
              <w:jc w:val="left"/>
              <w:rPr>
                <w:rFonts w:cs="Arial"/>
                <w:szCs w:val="20"/>
              </w:rPr>
            </w:pPr>
            <w:r>
              <w:rPr>
                <w:rFonts w:cs="Arial"/>
                <w:noProof/>
                <w:szCs w:val="20"/>
                <w:lang w:val="en-US"/>
              </w:rPr>
              <w:drawing>
                <wp:inline distT="0" distB="0" distL="0" distR="0" wp14:anchorId="4D74AAC6" wp14:editId="0FC85269">
                  <wp:extent cx="5015620" cy="5403663"/>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t="10059"/>
                          <a:stretch/>
                        </pic:blipFill>
                        <pic:spPr bwMode="auto">
                          <a:xfrm>
                            <a:off x="0" y="0"/>
                            <a:ext cx="5031842" cy="5421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252" w:type="dxa"/>
          </w:tcPr>
          <w:p w:rsidR="007831FC" w:rsidRPr="007831FC" w:rsidRDefault="007831FC" w:rsidP="009C222C">
            <w:pPr>
              <w:spacing w:line="276" w:lineRule="auto"/>
              <w:jc w:val="left"/>
              <w:rPr>
                <w:rFonts w:cs="Arial"/>
                <w:szCs w:val="20"/>
              </w:rPr>
            </w:pPr>
            <w:r>
              <w:rPr>
                <w:rFonts w:cs="Arial"/>
                <w:szCs w:val="20"/>
              </w:rPr>
              <w:t xml:space="preserve">Considering the number of FS links and the corresponding average FS link distance indicated by the CEPT administrations, </w:t>
            </w:r>
            <w:r w:rsidR="00056497">
              <w:rPr>
                <w:rFonts w:cs="Arial"/>
                <w:szCs w:val="20"/>
              </w:rPr>
              <w:t xml:space="preserve">the </w:t>
            </w:r>
            <w:r>
              <w:rPr>
                <w:rFonts w:cs="Arial"/>
                <w:szCs w:val="20"/>
              </w:rPr>
              <w:t>weighted average values of FS link distance can be derived, obtaining:</w:t>
            </w:r>
          </w:p>
          <w:p w:rsidR="007831FC" w:rsidRPr="007831FC" w:rsidRDefault="007831FC" w:rsidP="009C222C">
            <w:pPr>
              <w:spacing w:line="276" w:lineRule="auto"/>
              <w:jc w:val="left"/>
              <w:rPr>
                <w:rFonts w:cs="Arial"/>
                <w:szCs w:val="20"/>
              </w:rPr>
            </w:pPr>
          </w:p>
          <w:p w:rsidR="007831FC" w:rsidRPr="007831FC" w:rsidRDefault="007831FC" w:rsidP="009C222C">
            <w:pPr>
              <w:spacing w:line="276" w:lineRule="auto"/>
              <w:jc w:val="left"/>
              <w:rPr>
                <w:rFonts w:cs="Arial"/>
                <w:b/>
                <w:szCs w:val="20"/>
              </w:rPr>
            </w:pPr>
          </w:p>
          <w:tbl>
            <w:tblPr>
              <w:tblStyle w:val="ECCTable-redheader"/>
              <w:tblW w:w="0" w:type="auto"/>
              <w:tblInd w:w="0" w:type="dxa"/>
              <w:tblLook w:val="04A0" w:firstRow="1" w:lastRow="0" w:firstColumn="1" w:lastColumn="0" w:noHBand="0" w:noVBand="1"/>
            </w:tblPr>
            <w:tblGrid>
              <w:gridCol w:w="1939"/>
              <w:gridCol w:w="2430"/>
            </w:tblGrid>
            <w:tr w:rsidR="007831FC" w:rsidRPr="00056497" w:rsidTr="00056497">
              <w:trPr>
                <w:cnfStyle w:val="100000000000" w:firstRow="1" w:lastRow="0" w:firstColumn="0" w:lastColumn="0" w:oddVBand="0" w:evenVBand="0" w:oddHBand="0" w:evenHBand="0" w:firstRowFirstColumn="0" w:firstRowLastColumn="0" w:lastRowFirstColumn="0" w:lastRowLastColumn="0"/>
              </w:trPr>
              <w:tc>
                <w:tcPr>
                  <w:tcW w:w="4369" w:type="dxa"/>
                  <w:gridSpan w:val="2"/>
                </w:tcPr>
                <w:p w:rsidR="007831FC" w:rsidRPr="00056497" w:rsidRDefault="007831FC" w:rsidP="007831FC">
                  <w:pPr>
                    <w:jc w:val="left"/>
                    <w:rPr>
                      <w:rFonts w:ascii="Calibri" w:hAnsi="Calibri" w:cs="Calibri"/>
                      <w:i w:val="0"/>
                      <w:color w:val="000000"/>
                      <w:sz w:val="22"/>
                    </w:rPr>
                  </w:pPr>
                  <w:r w:rsidRPr="00056497">
                    <w:rPr>
                      <w:rFonts w:cs="Arial"/>
                      <w:i w:val="0"/>
                      <w:szCs w:val="20"/>
                    </w:rPr>
                    <w:t>Weighted average FS link distance (km)</w:t>
                  </w:r>
                </w:p>
              </w:tc>
            </w:tr>
            <w:tr w:rsidR="007831FC" w:rsidTr="00056497">
              <w:tc>
                <w:tcPr>
                  <w:tcW w:w="1939" w:type="dxa"/>
                </w:tcPr>
                <w:p w:rsidR="007831FC" w:rsidRPr="00056497" w:rsidRDefault="007831FC">
                  <w:pPr>
                    <w:rPr>
                      <w:rFonts w:ascii="Calibri" w:hAnsi="Calibri" w:cs="Calibri"/>
                      <w:b/>
                      <w:bCs/>
                      <w:color w:val="000000"/>
                      <w:sz w:val="22"/>
                    </w:rPr>
                  </w:pPr>
                  <w:r w:rsidRPr="00056497">
                    <w:rPr>
                      <w:rFonts w:ascii="Calibri" w:hAnsi="Calibri" w:cs="Calibri"/>
                      <w:b/>
                      <w:bCs/>
                      <w:color w:val="000000"/>
                      <w:sz w:val="22"/>
                    </w:rPr>
                    <w:t>Dense</w:t>
                  </w:r>
                </w:p>
              </w:tc>
              <w:tc>
                <w:tcPr>
                  <w:tcW w:w="2430" w:type="dxa"/>
                </w:tcPr>
                <w:p w:rsidR="007831FC" w:rsidRPr="007831FC" w:rsidRDefault="007831FC" w:rsidP="007831FC">
                  <w:pPr>
                    <w:jc w:val="center"/>
                    <w:rPr>
                      <w:rFonts w:ascii="Calibri" w:hAnsi="Calibri" w:cs="Calibri"/>
                      <w:color w:val="000000"/>
                      <w:sz w:val="22"/>
                    </w:rPr>
                  </w:pPr>
                  <w:r w:rsidRPr="007831FC">
                    <w:rPr>
                      <w:rFonts w:ascii="Calibri" w:hAnsi="Calibri" w:cs="Calibri"/>
                      <w:color w:val="000000"/>
                      <w:sz w:val="22"/>
                    </w:rPr>
                    <w:t>19.3</w:t>
                  </w:r>
                </w:p>
              </w:tc>
            </w:tr>
            <w:tr w:rsidR="007831FC" w:rsidTr="00056497">
              <w:tc>
                <w:tcPr>
                  <w:tcW w:w="1939" w:type="dxa"/>
                </w:tcPr>
                <w:p w:rsidR="007831FC" w:rsidRPr="00056497" w:rsidRDefault="007831FC">
                  <w:pPr>
                    <w:rPr>
                      <w:rFonts w:ascii="Calibri" w:hAnsi="Calibri" w:cs="Calibri"/>
                      <w:b/>
                      <w:bCs/>
                      <w:color w:val="000000"/>
                      <w:sz w:val="22"/>
                    </w:rPr>
                  </w:pPr>
                  <w:r w:rsidRPr="00056497">
                    <w:rPr>
                      <w:rFonts w:ascii="Calibri" w:hAnsi="Calibri" w:cs="Calibri"/>
                      <w:b/>
                      <w:bCs/>
                      <w:color w:val="000000"/>
                      <w:sz w:val="22"/>
                    </w:rPr>
                    <w:t>Intermediate</w:t>
                  </w:r>
                </w:p>
              </w:tc>
              <w:tc>
                <w:tcPr>
                  <w:tcW w:w="2430" w:type="dxa"/>
                </w:tcPr>
                <w:p w:rsidR="007831FC" w:rsidRPr="007831FC" w:rsidRDefault="007831FC" w:rsidP="007831FC">
                  <w:pPr>
                    <w:jc w:val="center"/>
                    <w:rPr>
                      <w:rFonts w:ascii="Calibri" w:hAnsi="Calibri" w:cs="Calibri"/>
                      <w:color w:val="000000"/>
                      <w:sz w:val="22"/>
                    </w:rPr>
                  </w:pPr>
                  <w:r w:rsidRPr="007831FC">
                    <w:rPr>
                      <w:rFonts w:ascii="Calibri" w:hAnsi="Calibri" w:cs="Calibri"/>
                      <w:color w:val="000000"/>
                      <w:sz w:val="22"/>
                    </w:rPr>
                    <w:t>24.0</w:t>
                  </w:r>
                </w:p>
              </w:tc>
            </w:tr>
            <w:tr w:rsidR="007831FC" w:rsidTr="00056497">
              <w:tc>
                <w:tcPr>
                  <w:tcW w:w="1939" w:type="dxa"/>
                </w:tcPr>
                <w:p w:rsidR="007831FC" w:rsidRPr="00056497" w:rsidRDefault="007831FC">
                  <w:pPr>
                    <w:rPr>
                      <w:rFonts w:ascii="Calibri" w:hAnsi="Calibri" w:cs="Calibri"/>
                      <w:b/>
                      <w:bCs/>
                      <w:color w:val="000000"/>
                      <w:sz w:val="22"/>
                    </w:rPr>
                  </w:pPr>
                  <w:r w:rsidRPr="00056497">
                    <w:rPr>
                      <w:rFonts w:ascii="Calibri" w:hAnsi="Calibri" w:cs="Calibri"/>
                      <w:b/>
                      <w:bCs/>
                      <w:color w:val="000000"/>
                      <w:sz w:val="22"/>
                    </w:rPr>
                    <w:t>Sparse</w:t>
                  </w:r>
                </w:p>
              </w:tc>
              <w:tc>
                <w:tcPr>
                  <w:tcW w:w="2430" w:type="dxa"/>
                </w:tcPr>
                <w:p w:rsidR="007831FC" w:rsidRPr="007831FC" w:rsidRDefault="00995F2E" w:rsidP="007831FC">
                  <w:pPr>
                    <w:jc w:val="center"/>
                    <w:rPr>
                      <w:rFonts w:ascii="Calibri" w:hAnsi="Calibri" w:cs="Calibri"/>
                      <w:color w:val="000000"/>
                      <w:sz w:val="22"/>
                    </w:rPr>
                  </w:pPr>
                  <w:r>
                    <w:rPr>
                      <w:rFonts w:ascii="Calibri" w:hAnsi="Calibri" w:cs="Calibri"/>
                      <w:color w:val="000000"/>
                      <w:sz w:val="22"/>
                    </w:rPr>
                    <w:t>34.2</w:t>
                  </w:r>
                </w:p>
              </w:tc>
            </w:tr>
          </w:tbl>
          <w:p w:rsidR="007831FC" w:rsidRDefault="007831FC" w:rsidP="009C222C">
            <w:pPr>
              <w:spacing w:line="276" w:lineRule="auto"/>
              <w:jc w:val="left"/>
              <w:rPr>
                <w:rFonts w:cs="Arial"/>
                <w:szCs w:val="20"/>
              </w:rPr>
            </w:pPr>
          </w:p>
          <w:p w:rsidR="00CA12C8" w:rsidRDefault="00CA12C8" w:rsidP="00A4751E">
            <w:pPr>
              <w:spacing w:line="276" w:lineRule="auto"/>
              <w:jc w:val="left"/>
              <w:rPr>
                <w:rFonts w:cs="Arial"/>
                <w:szCs w:val="20"/>
              </w:rPr>
            </w:pPr>
          </w:p>
        </w:tc>
      </w:tr>
    </w:tbl>
    <w:p w:rsidR="00474FD2" w:rsidRPr="00935E91" w:rsidRDefault="00474FD2" w:rsidP="00474FD2">
      <w:pPr>
        <w:spacing w:line="276" w:lineRule="auto"/>
        <w:jc w:val="left"/>
        <w:rPr>
          <w:rFonts w:cs="Arial"/>
          <w:b/>
          <w:szCs w:val="20"/>
        </w:rPr>
      </w:pPr>
      <w:r w:rsidRPr="006D5611">
        <w:rPr>
          <w:rFonts w:cs="Arial"/>
          <w:b/>
          <w:szCs w:val="20"/>
        </w:rPr>
        <w:lastRenderedPageBreak/>
        <w:t>Additio</w:t>
      </w:r>
      <w:r>
        <w:rPr>
          <w:rFonts w:cs="Arial"/>
          <w:b/>
          <w:szCs w:val="20"/>
        </w:rPr>
        <w:t>nal information has been provided by some administrations under question 4 on the distribution</w:t>
      </w:r>
      <w:r w:rsidR="00E620E6">
        <w:rPr>
          <w:rFonts w:cs="Arial"/>
          <w:b/>
          <w:szCs w:val="20"/>
        </w:rPr>
        <w:t xml:space="preserve"> and length</w:t>
      </w:r>
      <w:r>
        <w:rPr>
          <w:rFonts w:cs="Arial"/>
          <w:b/>
          <w:szCs w:val="20"/>
        </w:rPr>
        <w:t xml:space="preserve"> of FS links</w:t>
      </w:r>
      <w:r w:rsidRPr="006D5611">
        <w:rPr>
          <w:rFonts w:cs="Arial"/>
          <w:b/>
          <w:szCs w:val="20"/>
        </w:rPr>
        <w:t>:</w:t>
      </w:r>
    </w:p>
    <w:tbl>
      <w:tblPr>
        <w:tblStyle w:val="Question-group-table"/>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1781"/>
        <w:gridCol w:w="12682"/>
        <w:gridCol w:w="50"/>
      </w:tblGrid>
      <w:tr w:rsidR="00474FD2" w:rsidTr="009C222C">
        <w:trPr>
          <w:gridAfter w:val="1"/>
          <w:wAfter w:w="5" w:type="dxa"/>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r>
              <w:rPr>
                <w:rFonts w:ascii="Verdana" w:eastAsia="Verdana" w:hAnsi="Verdana" w:cs="Verdana"/>
                <w:sz w:val="18"/>
                <w:szCs w:val="18"/>
                <w:bdr w:val="nil"/>
              </w:rPr>
              <w:t>Belgium</w:t>
            </w:r>
          </w:p>
        </w:tc>
        <w:tc>
          <w:tcPr>
            <w:tcW w:w="12652"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r>
              <w:rPr>
                <w:rFonts w:ascii="Verdana" w:eastAsia="Verdana" w:hAnsi="Verdana" w:cs="Verdana"/>
                <w:sz w:val="18"/>
                <w:szCs w:val="18"/>
                <w:bdr w:val="nil"/>
              </w:rPr>
              <w:t xml:space="preserve">Minimum link distance = 8 km </w:t>
            </w:r>
            <w:r>
              <w:rPr>
                <w:rFonts w:ascii="Verdana" w:eastAsia="Verdana" w:hAnsi="Verdana" w:cs="Verdana"/>
                <w:sz w:val="18"/>
                <w:szCs w:val="18"/>
                <w:bdr w:val="nil"/>
              </w:rPr>
              <w:br/>
              <w:t xml:space="preserve">Maximum link distance = 108 km </w:t>
            </w:r>
            <w:r>
              <w:rPr>
                <w:rFonts w:ascii="Verdana" w:eastAsia="Verdana" w:hAnsi="Verdana" w:cs="Verdana"/>
                <w:sz w:val="18"/>
                <w:szCs w:val="18"/>
                <w:bdr w:val="nil"/>
              </w:rPr>
              <w:br/>
              <w:t xml:space="preserve">Average distance = 55 km </w:t>
            </w:r>
          </w:p>
        </w:tc>
      </w:tr>
      <w:tr w:rsidR="00995F2E" w:rsidTr="009C222C">
        <w:trPr>
          <w:gridAfter w:val="1"/>
          <w:wAfter w:w="5" w:type="dxa"/>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995F2E" w:rsidRDefault="00995F2E" w:rsidP="009C222C">
            <w:pPr>
              <w:rPr>
                <w:rFonts w:ascii="Verdana" w:eastAsia="Verdana" w:hAnsi="Verdana" w:cs="Verdana"/>
                <w:sz w:val="18"/>
                <w:szCs w:val="18"/>
                <w:bdr w:val="nil"/>
              </w:rPr>
            </w:pPr>
            <w:r>
              <w:rPr>
                <w:rFonts w:ascii="Verdana" w:eastAsia="Verdana" w:hAnsi="Verdana" w:cs="Verdana"/>
                <w:sz w:val="18"/>
                <w:szCs w:val="18"/>
                <w:bdr w:val="nil"/>
              </w:rPr>
              <w:t>France</w:t>
            </w:r>
          </w:p>
        </w:tc>
        <w:tc>
          <w:tcPr>
            <w:tcW w:w="12652"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995F2E" w:rsidRDefault="00995F2E" w:rsidP="009C222C">
            <w:pPr>
              <w:rPr>
                <w:rFonts w:ascii="Verdana" w:eastAsia="Verdana" w:hAnsi="Verdana" w:cs="Verdana"/>
                <w:sz w:val="18"/>
                <w:szCs w:val="18"/>
                <w:bdr w:val="nil"/>
              </w:rPr>
            </w:pPr>
            <w:r>
              <w:rPr>
                <w:rFonts w:ascii="Verdana" w:eastAsia="Verdana" w:hAnsi="Verdana" w:cs="Verdana"/>
                <w:sz w:val="18"/>
                <w:szCs w:val="18"/>
                <w:bdr w:val="nil"/>
              </w:rPr>
              <w:t xml:space="preserve">France provided additional statistics on the distribution </w:t>
            </w:r>
            <w:r w:rsidR="00C87F52">
              <w:rPr>
                <w:rFonts w:ascii="Verdana" w:eastAsia="Verdana" w:hAnsi="Verdana" w:cs="Verdana"/>
                <w:sz w:val="18"/>
                <w:szCs w:val="18"/>
                <w:bdr w:val="nil"/>
              </w:rPr>
              <w:t xml:space="preserve">and length of FS links: </w:t>
            </w:r>
          </w:p>
          <w:tbl>
            <w:tblPr>
              <w:tblStyle w:val="TableGrid"/>
              <w:tblW w:w="7529" w:type="dxa"/>
              <w:tblLook w:val="04A0" w:firstRow="1" w:lastRow="0" w:firstColumn="1" w:lastColumn="0" w:noHBand="0" w:noVBand="1"/>
            </w:tblPr>
            <w:tblGrid>
              <w:gridCol w:w="2636"/>
              <w:gridCol w:w="895"/>
              <w:gridCol w:w="1548"/>
              <w:gridCol w:w="1005"/>
              <w:gridCol w:w="1445"/>
            </w:tblGrid>
            <w:tr w:rsidR="00C87F52" w:rsidRPr="00C87F52" w:rsidTr="00601C6B">
              <w:tc>
                <w:tcPr>
                  <w:tcW w:w="2636" w:type="dxa"/>
                  <w:tcBorders>
                    <w:top w:val="nil"/>
                    <w:left w:val="nil"/>
                    <w:bottom w:val="nil"/>
                  </w:tcBorders>
                  <w:vAlign w:val="center"/>
                </w:tcPr>
                <w:p w:rsidR="00C87F52" w:rsidRPr="00C87F52" w:rsidRDefault="00C87F52" w:rsidP="00601C6B">
                  <w:pPr>
                    <w:rPr>
                      <w:rFonts w:asciiTheme="majorHAnsi" w:hAnsiTheme="majorHAnsi" w:cstheme="majorHAnsi"/>
                      <w:b/>
                      <w:sz w:val="22"/>
                    </w:rPr>
                  </w:pPr>
                </w:p>
              </w:tc>
              <w:tc>
                <w:tcPr>
                  <w:tcW w:w="4893" w:type="dxa"/>
                  <w:gridSpan w:val="4"/>
                  <w:vAlign w:val="center"/>
                </w:tcPr>
                <w:p w:rsidR="00C87F52" w:rsidRPr="00C87F52" w:rsidRDefault="00C87F52" w:rsidP="00601C6B">
                  <w:pPr>
                    <w:jc w:val="center"/>
                    <w:rPr>
                      <w:rFonts w:asciiTheme="majorHAnsi" w:hAnsiTheme="majorHAnsi" w:cstheme="majorHAnsi"/>
                      <w:b/>
                      <w:sz w:val="22"/>
                    </w:rPr>
                  </w:pPr>
                  <w:r w:rsidRPr="00C87F52">
                    <w:rPr>
                      <w:rFonts w:asciiTheme="majorHAnsi" w:hAnsiTheme="majorHAnsi" w:cstheme="majorHAnsi"/>
                      <w:b/>
                      <w:sz w:val="22"/>
                    </w:rPr>
                    <w:t>Type of area</w:t>
                  </w:r>
                </w:p>
              </w:tc>
            </w:tr>
            <w:tr w:rsidR="00C87F52" w:rsidRPr="00C87F52" w:rsidTr="00601C6B">
              <w:tc>
                <w:tcPr>
                  <w:tcW w:w="2636" w:type="dxa"/>
                  <w:tcBorders>
                    <w:top w:val="nil"/>
                    <w:left w:val="nil"/>
                  </w:tcBorders>
                  <w:vAlign w:val="center"/>
                </w:tcPr>
                <w:p w:rsidR="00C87F52" w:rsidRPr="00C87F52" w:rsidRDefault="00C87F52" w:rsidP="00601C6B">
                  <w:pPr>
                    <w:rPr>
                      <w:rFonts w:asciiTheme="majorHAnsi" w:hAnsiTheme="majorHAnsi" w:cstheme="majorHAnsi"/>
                      <w:b/>
                      <w:sz w:val="22"/>
                    </w:rPr>
                  </w:pPr>
                </w:p>
              </w:tc>
              <w:tc>
                <w:tcPr>
                  <w:tcW w:w="895" w:type="dxa"/>
                  <w:vAlign w:val="center"/>
                </w:tcPr>
                <w:p w:rsidR="00C87F52" w:rsidRPr="00C87F52" w:rsidRDefault="00C87F52" w:rsidP="00601C6B">
                  <w:pPr>
                    <w:jc w:val="center"/>
                    <w:rPr>
                      <w:rFonts w:asciiTheme="majorHAnsi" w:hAnsiTheme="majorHAnsi" w:cstheme="majorHAnsi"/>
                      <w:b/>
                      <w:sz w:val="22"/>
                    </w:rPr>
                  </w:pPr>
                  <w:r w:rsidRPr="00C87F52">
                    <w:rPr>
                      <w:rFonts w:asciiTheme="majorHAnsi" w:hAnsiTheme="majorHAnsi" w:cstheme="majorHAnsi"/>
                      <w:b/>
                      <w:sz w:val="22"/>
                    </w:rPr>
                    <w:t>Dense</w:t>
                  </w:r>
                </w:p>
              </w:tc>
              <w:tc>
                <w:tcPr>
                  <w:tcW w:w="1548" w:type="dxa"/>
                  <w:vAlign w:val="center"/>
                </w:tcPr>
                <w:p w:rsidR="00C87F52" w:rsidRPr="00C87F52" w:rsidRDefault="00C87F52" w:rsidP="00601C6B">
                  <w:pPr>
                    <w:jc w:val="center"/>
                    <w:rPr>
                      <w:rFonts w:asciiTheme="majorHAnsi" w:hAnsiTheme="majorHAnsi" w:cstheme="majorHAnsi"/>
                      <w:b/>
                      <w:sz w:val="22"/>
                    </w:rPr>
                  </w:pPr>
                  <w:r w:rsidRPr="00C87F52">
                    <w:rPr>
                      <w:rFonts w:asciiTheme="majorHAnsi" w:hAnsiTheme="majorHAnsi" w:cstheme="majorHAnsi"/>
                      <w:b/>
                      <w:sz w:val="22"/>
                    </w:rPr>
                    <w:t>Intermediate</w:t>
                  </w:r>
                </w:p>
              </w:tc>
              <w:tc>
                <w:tcPr>
                  <w:tcW w:w="1005" w:type="dxa"/>
                  <w:vAlign w:val="center"/>
                </w:tcPr>
                <w:p w:rsidR="00C87F52" w:rsidRPr="00C87F52" w:rsidRDefault="00C87F52" w:rsidP="00601C6B">
                  <w:pPr>
                    <w:jc w:val="center"/>
                    <w:rPr>
                      <w:rFonts w:asciiTheme="majorHAnsi" w:hAnsiTheme="majorHAnsi" w:cstheme="majorHAnsi"/>
                      <w:b/>
                      <w:sz w:val="22"/>
                    </w:rPr>
                  </w:pPr>
                  <w:r w:rsidRPr="00C87F52">
                    <w:rPr>
                      <w:rFonts w:asciiTheme="majorHAnsi" w:hAnsiTheme="majorHAnsi" w:cstheme="majorHAnsi"/>
                      <w:b/>
                      <w:sz w:val="22"/>
                    </w:rPr>
                    <w:t>Sparse</w:t>
                  </w:r>
                </w:p>
              </w:tc>
              <w:tc>
                <w:tcPr>
                  <w:tcW w:w="1445" w:type="dxa"/>
                  <w:vAlign w:val="center"/>
                </w:tcPr>
                <w:p w:rsidR="00C87F52" w:rsidRPr="00C87F52" w:rsidRDefault="00C87F52" w:rsidP="00601C6B">
                  <w:pPr>
                    <w:jc w:val="center"/>
                    <w:rPr>
                      <w:rFonts w:asciiTheme="majorHAnsi" w:hAnsiTheme="majorHAnsi" w:cstheme="majorHAnsi"/>
                      <w:b/>
                      <w:color w:val="FF0000"/>
                      <w:sz w:val="22"/>
                    </w:rPr>
                  </w:pPr>
                  <w:r w:rsidRPr="00C87F52">
                    <w:rPr>
                      <w:rFonts w:asciiTheme="majorHAnsi" w:hAnsiTheme="majorHAnsi" w:cstheme="majorHAnsi"/>
                      <w:b/>
                      <w:color w:val="FF0000"/>
                      <w:sz w:val="22"/>
                    </w:rPr>
                    <w:t>Very sparse</w:t>
                  </w:r>
                </w:p>
              </w:tc>
            </w:tr>
            <w:tr w:rsidR="00C87F52" w:rsidRPr="00C87F52" w:rsidTr="00601C6B">
              <w:tc>
                <w:tcPr>
                  <w:tcW w:w="2636" w:type="dxa"/>
                  <w:vAlign w:val="center"/>
                </w:tcPr>
                <w:p w:rsidR="00C87F52" w:rsidRPr="00D971D4" w:rsidRDefault="00C87F52" w:rsidP="00601C6B">
                  <w:pPr>
                    <w:rPr>
                      <w:rFonts w:asciiTheme="majorHAnsi" w:hAnsiTheme="majorHAnsi" w:cstheme="majorHAnsi"/>
                      <w:b/>
                      <w:sz w:val="22"/>
                    </w:rPr>
                  </w:pPr>
                  <w:r w:rsidRPr="00D971D4">
                    <w:rPr>
                      <w:rFonts w:asciiTheme="majorHAnsi" w:hAnsiTheme="majorHAnsi" w:cstheme="majorHAnsi"/>
                      <w:b/>
                      <w:sz w:val="22"/>
                    </w:rPr>
                    <w:t>% of links</w:t>
                  </w:r>
                </w:p>
              </w:tc>
              <w:tc>
                <w:tcPr>
                  <w:tcW w:w="89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3.96%</w:t>
                  </w:r>
                </w:p>
              </w:tc>
              <w:tc>
                <w:tcPr>
                  <w:tcW w:w="1548"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9.17%</w:t>
                  </w:r>
                </w:p>
              </w:tc>
              <w:tc>
                <w:tcPr>
                  <w:tcW w:w="100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46.88%</w:t>
                  </w:r>
                </w:p>
              </w:tc>
              <w:tc>
                <w:tcPr>
                  <w:tcW w:w="1445" w:type="dxa"/>
                  <w:vAlign w:val="center"/>
                </w:tcPr>
                <w:p w:rsidR="00C87F52" w:rsidRPr="00C87F52" w:rsidRDefault="00C87F52" w:rsidP="00601C6B">
                  <w:pPr>
                    <w:jc w:val="center"/>
                    <w:rPr>
                      <w:rFonts w:asciiTheme="majorHAnsi" w:hAnsiTheme="majorHAnsi" w:cstheme="majorHAnsi"/>
                      <w:color w:val="FF0000"/>
                      <w:sz w:val="22"/>
                    </w:rPr>
                  </w:pPr>
                  <w:r w:rsidRPr="00C87F52">
                    <w:rPr>
                      <w:rFonts w:asciiTheme="majorHAnsi" w:hAnsiTheme="majorHAnsi" w:cstheme="majorHAnsi"/>
                      <w:color w:val="FF0000"/>
                      <w:sz w:val="22"/>
                    </w:rPr>
                    <w:t>39.98%</w:t>
                  </w:r>
                </w:p>
              </w:tc>
            </w:tr>
            <w:tr w:rsidR="00C87F52" w:rsidRPr="00C87F52" w:rsidTr="00601C6B">
              <w:tc>
                <w:tcPr>
                  <w:tcW w:w="2636" w:type="dxa"/>
                  <w:vAlign w:val="center"/>
                </w:tcPr>
                <w:p w:rsidR="00C87F52" w:rsidRPr="00D971D4" w:rsidRDefault="00C87F52" w:rsidP="00601C6B">
                  <w:pPr>
                    <w:rPr>
                      <w:rFonts w:asciiTheme="majorHAnsi" w:hAnsiTheme="majorHAnsi" w:cstheme="majorHAnsi"/>
                      <w:b/>
                      <w:sz w:val="22"/>
                    </w:rPr>
                  </w:pPr>
                  <w:r w:rsidRPr="00D971D4">
                    <w:rPr>
                      <w:rFonts w:asciiTheme="majorHAnsi" w:hAnsiTheme="majorHAnsi" w:cstheme="majorHAnsi"/>
                      <w:b/>
                      <w:sz w:val="22"/>
                    </w:rPr>
                    <w:t>Minimum distance (km)</w:t>
                  </w:r>
                </w:p>
              </w:tc>
              <w:tc>
                <w:tcPr>
                  <w:tcW w:w="89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9</w:t>
                  </w:r>
                </w:p>
              </w:tc>
              <w:tc>
                <w:tcPr>
                  <w:tcW w:w="1548"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8</w:t>
                  </w:r>
                </w:p>
              </w:tc>
              <w:tc>
                <w:tcPr>
                  <w:tcW w:w="100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5</w:t>
                  </w:r>
                </w:p>
              </w:tc>
              <w:tc>
                <w:tcPr>
                  <w:tcW w:w="1445" w:type="dxa"/>
                  <w:vAlign w:val="center"/>
                </w:tcPr>
                <w:p w:rsidR="00C87F52" w:rsidRPr="00C87F52" w:rsidRDefault="00C87F52" w:rsidP="00601C6B">
                  <w:pPr>
                    <w:jc w:val="center"/>
                    <w:rPr>
                      <w:rFonts w:asciiTheme="majorHAnsi" w:hAnsiTheme="majorHAnsi" w:cstheme="majorHAnsi"/>
                      <w:color w:val="FF0000"/>
                      <w:sz w:val="22"/>
                    </w:rPr>
                  </w:pPr>
                  <w:r w:rsidRPr="00C87F52">
                    <w:rPr>
                      <w:rFonts w:asciiTheme="majorHAnsi" w:hAnsiTheme="majorHAnsi" w:cstheme="majorHAnsi"/>
                      <w:color w:val="FF0000"/>
                      <w:sz w:val="22"/>
                    </w:rPr>
                    <w:t>2</w:t>
                  </w:r>
                </w:p>
              </w:tc>
            </w:tr>
            <w:tr w:rsidR="00C87F52" w:rsidRPr="00C87F52" w:rsidTr="00601C6B">
              <w:tc>
                <w:tcPr>
                  <w:tcW w:w="2636" w:type="dxa"/>
                  <w:vAlign w:val="center"/>
                </w:tcPr>
                <w:p w:rsidR="00C87F52" w:rsidRPr="00D971D4" w:rsidRDefault="00C87F52" w:rsidP="00601C6B">
                  <w:pPr>
                    <w:rPr>
                      <w:rFonts w:asciiTheme="majorHAnsi" w:hAnsiTheme="majorHAnsi" w:cstheme="majorHAnsi"/>
                      <w:b/>
                      <w:sz w:val="22"/>
                    </w:rPr>
                  </w:pPr>
                  <w:r w:rsidRPr="00D971D4">
                    <w:rPr>
                      <w:rFonts w:asciiTheme="majorHAnsi" w:hAnsiTheme="majorHAnsi" w:cstheme="majorHAnsi"/>
                      <w:b/>
                      <w:sz w:val="22"/>
                    </w:rPr>
                    <w:t>Average distance (km)</w:t>
                  </w:r>
                </w:p>
              </w:tc>
              <w:tc>
                <w:tcPr>
                  <w:tcW w:w="89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29.37</w:t>
                  </w:r>
                </w:p>
              </w:tc>
              <w:tc>
                <w:tcPr>
                  <w:tcW w:w="1548"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26.50</w:t>
                  </w:r>
                </w:p>
              </w:tc>
              <w:tc>
                <w:tcPr>
                  <w:tcW w:w="100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26.38</w:t>
                  </w:r>
                </w:p>
              </w:tc>
              <w:tc>
                <w:tcPr>
                  <w:tcW w:w="1445" w:type="dxa"/>
                  <w:vAlign w:val="center"/>
                </w:tcPr>
                <w:p w:rsidR="00C87F52" w:rsidRPr="00C87F52" w:rsidRDefault="00C87F52" w:rsidP="00601C6B">
                  <w:pPr>
                    <w:jc w:val="center"/>
                    <w:rPr>
                      <w:rFonts w:asciiTheme="majorHAnsi" w:hAnsiTheme="majorHAnsi" w:cstheme="majorHAnsi"/>
                      <w:color w:val="FF0000"/>
                      <w:sz w:val="22"/>
                    </w:rPr>
                  </w:pPr>
                  <w:r w:rsidRPr="00C87F52">
                    <w:rPr>
                      <w:rFonts w:asciiTheme="majorHAnsi" w:hAnsiTheme="majorHAnsi" w:cstheme="majorHAnsi"/>
                      <w:color w:val="FF0000"/>
                      <w:sz w:val="22"/>
                    </w:rPr>
                    <w:t>31.4</w:t>
                  </w:r>
                </w:p>
              </w:tc>
            </w:tr>
            <w:tr w:rsidR="00C87F52" w:rsidRPr="00C87F52" w:rsidTr="00601C6B">
              <w:tc>
                <w:tcPr>
                  <w:tcW w:w="2636" w:type="dxa"/>
                  <w:vAlign w:val="center"/>
                </w:tcPr>
                <w:p w:rsidR="00C87F52" w:rsidRPr="00C87F52" w:rsidRDefault="00C87F52" w:rsidP="00601C6B">
                  <w:pPr>
                    <w:rPr>
                      <w:rFonts w:asciiTheme="majorHAnsi" w:hAnsiTheme="majorHAnsi" w:cstheme="majorHAnsi"/>
                      <w:b/>
                      <w:color w:val="FF0000"/>
                      <w:sz w:val="22"/>
                      <w:lang w:val="fr-FR"/>
                    </w:rPr>
                  </w:pPr>
                  <w:proofErr w:type="spellStart"/>
                  <w:r w:rsidRPr="00C87F52">
                    <w:rPr>
                      <w:rFonts w:asciiTheme="majorHAnsi" w:hAnsiTheme="majorHAnsi" w:cstheme="majorHAnsi"/>
                      <w:b/>
                      <w:color w:val="FF0000"/>
                      <w:sz w:val="22"/>
                      <w:lang w:val="fr-FR"/>
                    </w:rPr>
                    <w:t>Median</w:t>
                  </w:r>
                  <w:proofErr w:type="spellEnd"/>
                  <w:r w:rsidRPr="00C87F52">
                    <w:rPr>
                      <w:rFonts w:asciiTheme="majorHAnsi" w:hAnsiTheme="majorHAnsi" w:cstheme="majorHAnsi"/>
                      <w:b/>
                      <w:color w:val="FF0000"/>
                      <w:sz w:val="22"/>
                      <w:lang w:val="fr-FR"/>
                    </w:rPr>
                    <w:t xml:space="preserve"> distance (km)</w:t>
                  </w:r>
                </w:p>
              </w:tc>
              <w:tc>
                <w:tcPr>
                  <w:tcW w:w="895" w:type="dxa"/>
                  <w:vAlign w:val="center"/>
                </w:tcPr>
                <w:p w:rsidR="00C87F52" w:rsidRPr="00C87F52" w:rsidRDefault="00C87F52" w:rsidP="00601C6B">
                  <w:pPr>
                    <w:jc w:val="center"/>
                    <w:rPr>
                      <w:rFonts w:asciiTheme="majorHAnsi" w:hAnsiTheme="majorHAnsi" w:cstheme="majorHAnsi"/>
                      <w:color w:val="FF0000"/>
                      <w:sz w:val="22"/>
                      <w:lang w:val="fr-FR"/>
                    </w:rPr>
                  </w:pPr>
                  <w:r w:rsidRPr="00C87F52">
                    <w:rPr>
                      <w:rFonts w:asciiTheme="majorHAnsi" w:hAnsiTheme="majorHAnsi" w:cstheme="majorHAnsi"/>
                      <w:color w:val="FF0000"/>
                      <w:sz w:val="22"/>
                      <w:lang w:val="fr-FR"/>
                    </w:rPr>
                    <w:t>31</w:t>
                  </w:r>
                </w:p>
              </w:tc>
              <w:tc>
                <w:tcPr>
                  <w:tcW w:w="1548" w:type="dxa"/>
                  <w:vAlign w:val="center"/>
                </w:tcPr>
                <w:p w:rsidR="00C87F52" w:rsidRPr="00C87F52" w:rsidRDefault="00C87F52" w:rsidP="00601C6B">
                  <w:pPr>
                    <w:jc w:val="center"/>
                    <w:rPr>
                      <w:rFonts w:asciiTheme="majorHAnsi" w:hAnsiTheme="majorHAnsi" w:cstheme="majorHAnsi"/>
                      <w:color w:val="FF0000"/>
                      <w:sz w:val="22"/>
                      <w:lang w:val="fr-FR"/>
                    </w:rPr>
                  </w:pPr>
                  <w:r w:rsidRPr="00C87F52">
                    <w:rPr>
                      <w:rFonts w:asciiTheme="majorHAnsi" w:hAnsiTheme="majorHAnsi" w:cstheme="majorHAnsi"/>
                      <w:color w:val="FF0000"/>
                      <w:sz w:val="22"/>
                      <w:lang w:val="fr-FR"/>
                    </w:rPr>
                    <w:t>24</w:t>
                  </w:r>
                </w:p>
              </w:tc>
              <w:tc>
                <w:tcPr>
                  <w:tcW w:w="1005" w:type="dxa"/>
                  <w:vAlign w:val="center"/>
                </w:tcPr>
                <w:p w:rsidR="00C87F52" w:rsidRPr="00C87F52" w:rsidRDefault="00C87F52" w:rsidP="00601C6B">
                  <w:pPr>
                    <w:jc w:val="center"/>
                    <w:rPr>
                      <w:rFonts w:asciiTheme="majorHAnsi" w:hAnsiTheme="majorHAnsi" w:cstheme="majorHAnsi"/>
                      <w:color w:val="FF0000"/>
                      <w:sz w:val="22"/>
                      <w:lang w:val="fr-FR"/>
                    </w:rPr>
                  </w:pPr>
                  <w:r w:rsidRPr="00C87F52">
                    <w:rPr>
                      <w:rFonts w:asciiTheme="majorHAnsi" w:hAnsiTheme="majorHAnsi" w:cstheme="majorHAnsi"/>
                      <w:color w:val="FF0000"/>
                      <w:sz w:val="22"/>
                      <w:lang w:val="fr-FR"/>
                    </w:rPr>
                    <w:t>27</w:t>
                  </w:r>
                </w:p>
              </w:tc>
              <w:tc>
                <w:tcPr>
                  <w:tcW w:w="1445" w:type="dxa"/>
                  <w:vAlign w:val="center"/>
                </w:tcPr>
                <w:p w:rsidR="00C87F52" w:rsidRPr="00C87F52" w:rsidRDefault="00C87F52" w:rsidP="00601C6B">
                  <w:pPr>
                    <w:jc w:val="center"/>
                    <w:rPr>
                      <w:rFonts w:asciiTheme="majorHAnsi" w:hAnsiTheme="majorHAnsi" w:cstheme="majorHAnsi"/>
                      <w:color w:val="FF0000"/>
                      <w:sz w:val="22"/>
                      <w:lang w:val="fr-FR"/>
                    </w:rPr>
                  </w:pPr>
                  <w:r w:rsidRPr="00C87F52">
                    <w:rPr>
                      <w:rFonts w:asciiTheme="majorHAnsi" w:hAnsiTheme="majorHAnsi" w:cstheme="majorHAnsi"/>
                      <w:color w:val="FF0000"/>
                      <w:sz w:val="22"/>
                      <w:lang w:val="fr-FR"/>
                    </w:rPr>
                    <w:t>30</w:t>
                  </w:r>
                </w:p>
              </w:tc>
            </w:tr>
            <w:tr w:rsidR="00C87F52" w:rsidRPr="00C87F52" w:rsidTr="00601C6B">
              <w:tc>
                <w:tcPr>
                  <w:tcW w:w="2636" w:type="dxa"/>
                  <w:vAlign w:val="center"/>
                </w:tcPr>
                <w:p w:rsidR="00C87F52" w:rsidRPr="00D971D4" w:rsidRDefault="00C87F52" w:rsidP="00601C6B">
                  <w:pPr>
                    <w:rPr>
                      <w:rFonts w:asciiTheme="majorHAnsi" w:hAnsiTheme="majorHAnsi" w:cstheme="majorHAnsi"/>
                      <w:b/>
                      <w:sz w:val="22"/>
                    </w:rPr>
                  </w:pPr>
                  <w:r w:rsidRPr="00D971D4">
                    <w:rPr>
                      <w:rFonts w:asciiTheme="majorHAnsi" w:hAnsiTheme="majorHAnsi" w:cstheme="majorHAnsi"/>
                      <w:b/>
                      <w:sz w:val="22"/>
                    </w:rPr>
                    <w:t>Maximum distance (km)</w:t>
                  </w:r>
                </w:p>
              </w:tc>
              <w:tc>
                <w:tcPr>
                  <w:tcW w:w="89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49</w:t>
                  </w:r>
                </w:p>
              </w:tc>
              <w:tc>
                <w:tcPr>
                  <w:tcW w:w="1548"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76</w:t>
                  </w:r>
                </w:p>
              </w:tc>
              <w:tc>
                <w:tcPr>
                  <w:tcW w:w="1005" w:type="dxa"/>
                  <w:vAlign w:val="center"/>
                </w:tcPr>
                <w:p w:rsidR="00C87F52" w:rsidRPr="00D971D4" w:rsidRDefault="00C87F52" w:rsidP="00601C6B">
                  <w:pPr>
                    <w:jc w:val="center"/>
                    <w:rPr>
                      <w:rFonts w:asciiTheme="majorHAnsi" w:hAnsiTheme="majorHAnsi" w:cstheme="majorHAnsi"/>
                      <w:sz w:val="22"/>
                    </w:rPr>
                  </w:pPr>
                  <w:r w:rsidRPr="00D971D4">
                    <w:rPr>
                      <w:rFonts w:asciiTheme="majorHAnsi" w:hAnsiTheme="majorHAnsi" w:cstheme="majorHAnsi"/>
                      <w:sz w:val="22"/>
                    </w:rPr>
                    <w:t>92</w:t>
                  </w:r>
                </w:p>
              </w:tc>
              <w:tc>
                <w:tcPr>
                  <w:tcW w:w="1445" w:type="dxa"/>
                  <w:vAlign w:val="center"/>
                </w:tcPr>
                <w:p w:rsidR="00C87F52" w:rsidRPr="00C87F52" w:rsidRDefault="00C87F52" w:rsidP="00601C6B">
                  <w:pPr>
                    <w:jc w:val="center"/>
                    <w:rPr>
                      <w:rFonts w:asciiTheme="majorHAnsi" w:hAnsiTheme="majorHAnsi" w:cstheme="majorHAnsi"/>
                      <w:color w:val="FF0000"/>
                      <w:sz w:val="22"/>
                    </w:rPr>
                  </w:pPr>
                  <w:r w:rsidRPr="00C87F52">
                    <w:rPr>
                      <w:rFonts w:asciiTheme="majorHAnsi" w:hAnsiTheme="majorHAnsi" w:cstheme="majorHAnsi"/>
                      <w:color w:val="FF0000"/>
                      <w:sz w:val="22"/>
                    </w:rPr>
                    <w:t>139</w:t>
                  </w:r>
                </w:p>
              </w:tc>
            </w:tr>
          </w:tbl>
          <w:p w:rsidR="00C87F52" w:rsidRDefault="00C87F52" w:rsidP="009C222C">
            <w:pPr>
              <w:rPr>
                <w:rFonts w:ascii="Verdana" w:eastAsia="Verdana" w:hAnsi="Verdana" w:cs="Verdana"/>
                <w:sz w:val="18"/>
                <w:szCs w:val="18"/>
                <w:bdr w:val="nil"/>
              </w:rPr>
            </w:pPr>
          </w:p>
        </w:tc>
      </w:tr>
      <w:tr w:rsidR="00474FD2" w:rsidTr="009C222C">
        <w:trPr>
          <w:gridAfter w:val="1"/>
          <w:wAfter w:w="5" w:type="dxa"/>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t>Greece</w:t>
            </w:r>
          </w:p>
        </w:tc>
        <w:tc>
          <w:tcPr>
            <w:tcW w:w="12652"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t xml:space="preserve">EETT does not use population layers in the process of planning, studying and licensing of the PP links. The only relevant parameter kept in the link registry is whether the station is within a high or low population area, indicating the density of PP links (in total, not only for 5925-6425 MHz band), used for calculating spectrum fees. High population area is considered the prefecture of Attica (includes Athens) and all the other areas in Greece are considered as low populated. Therefore it is not feasible to provide a concrete numerical answer to this question. </w:t>
            </w:r>
            <w:r>
              <w:rPr>
                <w:rFonts w:ascii="Verdana" w:eastAsia="Verdana" w:hAnsi="Verdana" w:cs="Verdana"/>
                <w:sz w:val="18"/>
                <w:szCs w:val="18"/>
                <w:bdr w:val="nil"/>
              </w:rPr>
              <w:br/>
              <w:t xml:space="preserve">Nevertheless, please find below some similar statistics which may provide a clearer view to this direction: </w:t>
            </w:r>
            <w:r>
              <w:rPr>
                <w:rFonts w:ascii="Verdana" w:eastAsia="Verdana" w:hAnsi="Verdana" w:cs="Verdana"/>
                <w:sz w:val="18"/>
                <w:szCs w:val="18"/>
                <w:bdr w:val="nil"/>
              </w:rPr>
              <w:br/>
              <w:t xml:space="preserve">In the 3 largest cities of Greece there are only 29 links (9%) in this band with min / </w:t>
            </w:r>
            <w:proofErr w:type="spellStart"/>
            <w:r>
              <w:rPr>
                <w:rFonts w:ascii="Verdana" w:eastAsia="Verdana" w:hAnsi="Verdana" w:cs="Verdana"/>
                <w:sz w:val="18"/>
                <w:szCs w:val="18"/>
                <w:bdr w:val="nil"/>
              </w:rPr>
              <w:t>avg</w:t>
            </w:r>
            <w:proofErr w:type="spellEnd"/>
            <w:r>
              <w:rPr>
                <w:rFonts w:ascii="Verdana" w:eastAsia="Verdana" w:hAnsi="Verdana" w:cs="Verdana"/>
                <w:sz w:val="18"/>
                <w:szCs w:val="18"/>
                <w:bdr w:val="nil"/>
              </w:rPr>
              <w:t xml:space="preserve"> / max Distance 8,6 / 33,8 / 64 km. More specifically: </w:t>
            </w:r>
            <w:r>
              <w:rPr>
                <w:rFonts w:ascii="Verdana" w:eastAsia="Verdana" w:hAnsi="Verdana" w:cs="Verdana"/>
                <w:sz w:val="18"/>
                <w:szCs w:val="18"/>
                <w:bdr w:val="nil"/>
              </w:rPr>
              <w:br/>
              <w:t xml:space="preserve">- Athens: 6 links (only 2 are inside residential locations), min / max Distance 8,6 / 64 km </w:t>
            </w:r>
            <w:r>
              <w:rPr>
                <w:rFonts w:ascii="Verdana" w:eastAsia="Verdana" w:hAnsi="Verdana" w:cs="Verdana"/>
                <w:sz w:val="18"/>
                <w:szCs w:val="18"/>
                <w:bdr w:val="nil"/>
              </w:rPr>
              <w:br/>
              <w:t xml:space="preserve">- Thessaloniki 12 links (only 7 inside residential locations), min / max Distance 12 / 43 km </w:t>
            </w:r>
            <w:r>
              <w:rPr>
                <w:rFonts w:ascii="Verdana" w:eastAsia="Verdana" w:hAnsi="Verdana" w:cs="Verdana"/>
                <w:sz w:val="18"/>
                <w:szCs w:val="18"/>
                <w:bdr w:val="nil"/>
              </w:rPr>
              <w:br/>
              <w:t xml:space="preserve">- Patra: 11 links (only 3 are inside residential locations), min / max Distance 23,1 / 39,2 km </w:t>
            </w:r>
            <w:r>
              <w:rPr>
                <w:rFonts w:ascii="Verdana" w:eastAsia="Verdana" w:hAnsi="Verdana" w:cs="Verdana"/>
                <w:sz w:val="18"/>
                <w:szCs w:val="18"/>
                <w:bdr w:val="nil"/>
              </w:rPr>
              <w:br/>
              <w:t xml:space="preserve">- Rest of Greece: min / </w:t>
            </w:r>
            <w:proofErr w:type="spellStart"/>
            <w:r>
              <w:rPr>
                <w:rFonts w:ascii="Verdana" w:eastAsia="Verdana" w:hAnsi="Verdana" w:cs="Verdana"/>
                <w:sz w:val="18"/>
                <w:szCs w:val="18"/>
                <w:bdr w:val="nil"/>
              </w:rPr>
              <w:t>avg</w:t>
            </w:r>
            <w:proofErr w:type="spellEnd"/>
            <w:r>
              <w:rPr>
                <w:rFonts w:ascii="Verdana" w:eastAsia="Verdana" w:hAnsi="Verdana" w:cs="Verdana"/>
                <w:sz w:val="18"/>
                <w:szCs w:val="18"/>
                <w:bdr w:val="nil"/>
              </w:rPr>
              <w:t xml:space="preserve"> / max Distance 10,9 / 42,8 / 98,5 km </w:t>
            </w:r>
            <w:r>
              <w:rPr>
                <w:rFonts w:ascii="Verdana" w:eastAsia="Verdana" w:hAnsi="Verdana" w:cs="Verdana"/>
                <w:sz w:val="18"/>
                <w:szCs w:val="18"/>
                <w:bdr w:val="nil"/>
              </w:rPr>
              <w:br/>
              <w:t xml:space="preserve">The links not within residential locations include sites that are on top of near-city mountains or hills, in places surrounded by un-populated areas. The same applies also to links in other cities of </w:t>
            </w:r>
            <w:proofErr w:type="gramStart"/>
            <w:r>
              <w:rPr>
                <w:rFonts w:ascii="Verdana" w:eastAsia="Verdana" w:hAnsi="Verdana" w:cs="Verdana"/>
                <w:sz w:val="18"/>
                <w:szCs w:val="18"/>
                <w:bdr w:val="nil"/>
              </w:rPr>
              <w:t>Greece,</w:t>
            </w:r>
            <w:proofErr w:type="gramEnd"/>
            <w:r>
              <w:rPr>
                <w:rFonts w:ascii="Verdana" w:eastAsia="Verdana" w:hAnsi="Verdana" w:cs="Verdana"/>
                <w:sz w:val="18"/>
                <w:szCs w:val="18"/>
                <w:bdr w:val="nil"/>
              </w:rPr>
              <w:t xml:space="preserve"> therefore, links with sites inside dense or even intermediate population areas are very few. Moreover, a significant number of links are used for interconnecting islands. </w:t>
            </w:r>
            <w:r>
              <w:rPr>
                <w:rFonts w:ascii="Verdana" w:eastAsia="Verdana" w:hAnsi="Verdana" w:cs="Verdana"/>
                <w:sz w:val="18"/>
                <w:szCs w:val="18"/>
                <w:bdr w:val="nil"/>
              </w:rPr>
              <w:br/>
              <w:t xml:space="preserve">Taking into account that the majority of the cities of Greece ( &gt;20.000 inhabitants) are located in areas with altitude less than 300m, the following statistics may provide useful information: </w:t>
            </w:r>
            <w:r>
              <w:rPr>
                <w:rFonts w:ascii="Verdana" w:eastAsia="Verdana" w:hAnsi="Verdana" w:cs="Verdana"/>
                <w:sz w:val="18"/>
                <w:szCs w:val="18"/>
                <w:bdr w:val="nil"/>
              </w:rPr>
              <w:br/>
              <w:t xml:space="preserve">- </w:t>
            </w:r>
            <w:proofErr w:type="spellStart"/>
            <w:r>
              <w:rPr>
                <w:rFonts w:ascii="Verdana" w:eastAsia="Verdana" w:hAnsi="Verdana" w:cs="Verdana"/>
                <w:sz w:val="18"/>
                <w:szCs w:val="18"/>
                <w:bdr w:val="nil"/>
              </w:rPr>
              <w:t>Avg</w:t>
            </w:r>
            <w:proofErr w:type="spellEnd"/>
            <w:r>
              <w:rPr>
                <w:rFonts w:ascii="Verdana" w:eastAsia="Verdana" w:hAnsi="Verdana" w:cs="Verdana"/>
                <w:sz w:val="18"/>
                <w:szCs w:val="18"/>
                <w:bdr w:val="nil"/>
              </w:rPr>
              <w:t xml:space="preserve"> site altitude for all 323 links: 668m </w:t>
            </w:r>
            <w:r>
              <w:rPr>
                <w:rFonts w:ascii="Verdana" w:eastAsia="Verdana" w:hAnsi="Verdana" w:cs="Verdana"/>
                <w:sz w:val="18"/>
                <w:szCs w:val="18"/>
                <w:bdr w:val="nil"/>
              </w:rPr>
              <w:br/>
              <w:t xml:space="preserve">- Links with at least one site with altitude &gt;1000m: 67 (20,7%) </w:t>
            </w:r>
            <w:r>
              <w:rPr>
                <w:rFonts w:ascii="Verdana" w:eastAsia="Verdana" w:hAnsi="Verdana" w:cs="Verdana"/>
                <w:sz w:val="18"/>
                <w:szCs w:val="18"/>
                <w:bdr w:val="nil"/>
              </w:rPr>
              <w:br/>
              <w:t xml:space="preserve">- Links with at least one site with altitude &gt;500m: 184 (57%) </w:t>
            </w:r>
            <w:r>
              <w:rPr>
                <w:rFonts w:ascii="Verdana" w:eastAsia="Verdana" w:hAnsi="Verdana" w:cs="Verdana"/>
                <w:sz w:val="18"/>
                <w:szCs w:val="18"/>
                <w:bdr w:val="nil"/>
              </w:rPr>
              <w:br/>
              <w:t xml:space="preserve">- Links with both sites altitude &lt;500m: 75 (23,2%) </w:t>
            </w:r>
            <w:r>
              <w:rPr>
                <w:rFonts w:ascii="Verdana" w:eastAsia="Verdana" w:hAnsi="Verdana" w:cs="Verdana"/>
                <w:sz w:val="18"/>
                <w:szCs w:val="18"/>
                <w:bdr w:val="nil"/>
              </w:rPr>
              <w:br/>
              <w:t>- Links with both sites altitude &lt;300m: 18 (5,6%)</w:t>
            </w:r>
          </w:p>
        </w:tc>
      </w:tr>
      <w:tr w:rsidR="00474FD2" w:rsidTr="009C222C">
        <w:trPr>
          <w:gridAfter w:val="1"/>
          <w:wAfter w:w="5" w:type="dxa"/>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t>Hungary</w:t>
            </w:r>
          </w:p>
        </w:tc>
        <w:tc>
          <w:tcPr>
            <w:tcW w:w="12652"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t xml:space="preserve">The distribution of link distance can be represented by normal distribution. The most common link distance is around 40 km. The </w:t>
            </w:r>
            <w:proofErr w:type="gramStart"/>
            <w:r>
              <w:rPr>
                <w:rFonts w:ascii="Verdana" w:eastAsia="Verdana" w:hAnsi="Verdana" w:cs="Verdana"/>
                <w:sz w:val="18"/>
                <w:szCs w:val="18"/>
                <w:bdr w:val="nil"/>
              </w:rPr>
              <w:t>number of links are</w:t>
            </w:r>
            <w:proofErr w:type="gramEnd"/>
            <w:r>
              <w:rPr>
                <w:rFonts w:ascii="Verdana" w:eastAsia="Verdana" w:hAnsi="Verdana" w:cs="Verdana"/>
                <w:sz w:val="18"/>
                <w:szCs w:val="18"/>
                <w:bdr w:val="nil"/>
              </w:rPr>
              <w:t xml:space="preserve"> lower when the link length is below or beyond this average value. Min. link distance: 16 km; Max. </w:t>
            </w:r>
            <w:proofErr w:type="gramStart"/>
            <w:r>
              <w:rPr>
                <w:rFonts w:ascii="Verdana" w:eastAsia="Verdana" w:hAnsi="Verdana" w:cs="Verdana"/>
                <w:sz w:val="18"/>
                <w:szCs w:val="18"/>
                <w:bdr w:val="nil"/>
              </w:rPr>
              <w:t>link</w:t>
            </w:r>
            <w:proofErr w:type="gramEnd"/>
            <w:r>
              <w:rPr>
                <w:rFonts w:ascii="Verdana" w:eastAsia="Verdana" w:hAnsi="Verdana" w:cs="Verdana"/>
                <w:sz w:val="18"/>
                <w:szCs w:val="18"/>
                <w:bdr w:val="nil"/>
              </w:rPr>
              <w:t xml:space="preserve"> distance: 65 </w:t>
            </w:r>
            <w:r>
              <w:rPr>
                <w:rFonts w:ascii="Verdana" w:eastAsia="Verdana" w:hAnsi="Verdana" w:cs="Verdana"/>
                <w:sz w:val="18"/>
                <w:szCs w:val="18"/>
                <w:bdr w:val="nil"/>
              </w:rPr>
              <w:lastRenderedPageBreak/>
              <w:t xml:space="preserve">km; Avg. link distance: 40 km. </w:t>
            </w:r>
            <w:r>
              <w:rPr>
                <w:rFonts w:ascii="Verdana" w:eastAsia="Verdana" w:hAnsi="Verdana" w:cs="Verdana"/>
                <w:sz w:val="18"/>
                <w:szCs w:val="18"/>
                <w:bdr w:val="nil"/>
              </w:rPr>
              <w:br/>
              <w:t>Most of the links are used for making long distance connection between two localities or a locality and a high terrain site. The links are deployed mostly in rural and sparsely populated areas and the link distance depends on the terrain.</w:t>
            </w:r>
          </w:p>
        </w:tc>
      </w:tr>
      <w:tr w:rsidR="00474FD2" w:rsidTr="009C222C">
        <w:trPr>
          <w:gridAfter w:val="1"/>
          <w:wAfter w:w="5" w:type="dxa"/>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pPr>
              <w:rPr>
                <w:rFonts w:ascii="Verdana" w:eastAsia="Verdana" w:hAnsi="Verdana" w:cs="Verdana"/>
                <w:sz w:val="18"/>
                <w:szCs w:val="18"/>
                <w:bdr w:val="nil"/>
              </w:rPr>
            </w:pPr>
            <w:r>
              <w:rPr>
                <w:rFonts w:ascii="Verdana" w:eastAsia="Verdana" w:hAnsi="Verdana" w:cs="Verdana"/>
                <w:sz w:val="18"/>
                <w:szCs w:val="18"/>
                <w:bdr w:val="nil"/>
              </w:rPr>
              <w:lastRenderedPageBreak/>
              <w:t>Norway</w:t>
            </w:r>
          </w:p>
        </w:tc>
        <w:tc>
          <w:tcPr>
            <w:tcW w:w="12652"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230DDC">
            <w:r>
              <w:rPr>
                <w:rFonts w:ascii="Verdana" w:eastAsia="Verdana" w:hAnsi="Verdana" w:cs="Verdana"/>
                <w:sz w:val="18"/>
                <w:szCs w:val="18"/>
                <w:bdr w:val="nil"/>
              </w:rPr>
              <w:t xml:space="preserve">Norway </w:t>
            </w:r>
            <w:proofErr w:type="gramStart"/>
            <w:r>
              <w:rPr>
                <w:rFonts w:ascii="Verdana" w:eastAsia="Verdana" w:hAnsi="Verdana" w:cs="Verdana"/>
                <w:sz w:val="18"/>
                <w:szCs w:val="18"/>
                <w:bdr w:val="nil"/>
              </w:rPr>
              <w:t>have</w:t>
            </w:r>
            <w:proofErr w:type="gramEnd"/>
            <w:r>
              <w:rPr>
                <w:rFonts w:ascii="Verdana" w:eastAsia="Verdana" w:hAnsi="Verdana" w:cs="Verdana"/>
                <w:sz w:val="18"/>
                <w:szCs w:val="18"/>
                <w:bdr w:val="nil"/>
              </w:rPr>
              <w:t xml:space="preserve"> not defined geographical areas and is not possible to Place. One </w:t>
            </w:r>
            <w:proofErr w:type="spellStart"/>
            <w:r>
              <w:rPr>
                <w:rFonts w:ascii="Verdana" w:eastAsia="Verdana" w:hAnsi="Verdana" w:cs="Verdana"/>
                <w:sz w:val="18"/>
                <w:szCs w:val="18"/>
                <w:bdr w:val="nil"/>
              </w:rPr>
              <w:t>cind</w:t>
            </w:r>
            <w:proofErr w:type="spellEnd"/>
            <w:r>
              <w:rPr>
                <w:rFonts w:ascii="Verdana" w:eastAsia="Verdana" w:hAnsi="Verdana" w:cs="Verdana"/>
                <w:sz w:val="18"/>
                <w:szCs w:val="18"/>
                <w:bdr w:val="nil"/>
              </w:rPr>
              <w:t xml:space="preserve"> of Applications is Communications between oil installations offshore. Important for long distance systems. </w:t>
            </w:r>
          </w:p>
        </w:tc>
      </w:tr>
      <w:tr w:rsidR="00474FD2" w:rsidTr="009C222C">
        <w:trPr>
          <w:tblCellSpacing w:w="15" w:type="dxa"/>
        </w:trPr>
        <w:tc>
          <w:tcPr>
            <w:tcW w:w="173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r>
              <w:rPr>
                <w:rFonts w:ascii="Verdana" w:eastAsia="Verdana" w:hAnsi="Verdana" w:cs="Verdana"/>
                <w:sz w:val="18"/>
                <w:szCs w:val="18"/>
                <w:bdr w:val="nil"/>
              </w:rPr>
              <w:t>Portugal</w:t>
            </w:r>
          </w:p>
        </w:tc>
        <w:tc>
          <w:tcPr>
            <w:tcW w:w="12687" w:type="dxa"/>
            <w:gridSpan w:val="2"/>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474FD2" w:rsidRDefault="00474FD2" w:rsidP="009C222C">
            <w:r>
              <w:rPr>
                <w:rFonts w:ascii="Verdana" w:eastAsia="Verdana" w:hAnsi="Verdana" w:cs="Verdana"/>
                <w:sz w:val="18"/>
                <w:szCs w:val="18"/>
                <w:bdr w:val="nil"/>
              </w:rPr>
              <w:t xml:space="preserve">The links are part of the backbone network, usually used to cover rural areas. </w:t>
            </w:r>
          </w:p>
        </w:tc>
      </w:tr>
    </w:tbl>
    <w:p w:rsidR="001B0D52" w:rsidRPr="006D5611" w:rsidRDefault="001B0D52">
      <w:pPr>
        <w:rPr>
          <w:rFonts w:cs="Arial"/>
          <w:b/>
          <w:szCs w:val="20"/>
        </w:rPr>
      </w:pPr>
      <w:r w:rsidRPr="006D5611">
        <w:rPr>
          <w:rFonts w:cs="Arial"/>
          <w:b/>
          <w:szCs w:val="20"/>
        </w:rPr>
        <w:br w:type="page"/>
      </w:r>
    </w:p>
    <w:p w:rsidR="001B0D52" w:rsidRPr="00935E91" w:rsidRDefault="001B0D52" w:rsidP="001B0D52">
      <w:pPr>
        <w:rPr>
          <w:rFonts w:cs="Arial"/>
          <w:b/>
          <w:szCs w:val="20"/>
        </w:rPr>
      </w:pPr>
      <w:r w:rsidRPr="006D5611">
        <w:rPr>
          <w:rFonts w:cs="Arial"/>
          <w:b/>
          <w:szCs w:val="20"/>
        </w:rPr>
        <w:lastRenderedPageBreak/>
        <w:t>Question 5: For Fixed Service, which Channel/Frequency plan i</w:t>
      </w:r>
      <w:bookmarkStart w:id="0" w:name="_GoBack"/>
      <w:bookmarkEnd w:id="0"/>
      <w:r w:rsidRPr="006D5611">
        <w:rPr>
          <w:rFonts w:cs="Arial"/>
          <w:b/>
          <w:szCs w:val="20"/>
        </w:rPr>
        <w:t>s used (e.g. ERC/ECC Rec. ITU-R Rec.)?</w:t>
      </w:r>
      <w:r w:rsidRPr="00935E91">
        <w:rPr>
          <w:rFonts w:cs="Arial"/>
          <w:b/>
          <w:szCs w:val="20"/>
        </w:rPr>
        <w:t xml:space="preserve"> Please indicate used frequency plan and the distribution of channel bandwidths in Table 2 (spreadsheet).</w:t>
      </w:r>
    </w:p>
    <w:p w:rsidR="009A3E04" w:rsidRDefault="009A3E04" w:rsidP="00BE40FD">
      <w:pPr>
        <w:spacing w:line="276" w:lineRule="auto"/>
        <w:jc w:val="left"/>
        <w:rPr>
          <w:rFonts w:cs="Arial"/>
          <w:szCs w:val="20"/>
        </w:rPr>
      </w:pPr>
      <w:r>
        <w:rPr>
          <w:rFonts w:cs="Arial"/>
          <w:szCs w:val="20"/>
        </w:rPr>
        <w:t xml:space="preserve">The vast majority of CEPT administrations adopted </w:t>
      </w:r>
      <w:r w:rsidRPr="00F56CD0">
        <w:rPr>
          <w:rFonts w:cs="Arial"/>
          <w:b/>
          <w:szCs w:val="20"/>
        </w:rPr>
        <w:t>ERC/REC 14-01</w:t>
      </w:r>
      <w:r>
        <w:rPr>
          <w:rFonts w:cs="Arial"/>
          <w:szCs w:val="20"/>
        </w:rPr>
        <w:t xml:space="preserve"> with channel bandwidth of 29.65 MHz (dominant) and 59.3 MHz, namely: </w:t>
      </w:r>
    </w:p>
    <w:p w:rsidR="009A3E04" w:rsidRDefault="009A3E04" w:rsidP="00BE40FD">
      <w:pPr>
        <w:spacing w:line="276" w:lineRule="auto"/>
        <w:jc w:val="left"/>
        <w:rPr>
          <w:rFonts w:cs="Arial"/>
          <w:szCs w:val="20"/>
        </w:rPr>
      </w:pPr>
      <w:r>
        <w:rPr>
          <w:rFonts w:cs="Arial"/>
          <w:szCs w:val="20"/>
        </w:rPr>
        <w:t>Albania,</w:t>
      </w:r>
      <w:r w:rsidR="002F294D">
        <w:rPr>
          <w:rFonts w:cs="Arial"/>
          <w:szCs w:val="20"/>
        </w:rPr>
        <w:t xml:space="preserve"> Austria,</w:t>
      </w:r>
      <w:r>
        <w:rPr>
          <w:rFonts w:cs="Arial"/>
          <w:szCs w:val="20"/>
        </w:rPr>
        <w:t xml:space="preserve"> </w:t>
      </w:r>
      <w:r w:rsidR="00536AE8">
        <w:rPr>
          <w:rFonts w:cs="Arial"/>
          <w:szCs w:val="20"/>
        </w:rPr>
        <w:t xml:space="preserve">Belgium, </w:t>
      </w:r>
      <w:r>
        <w:rPr>
          <w:rFonts w:cs="Arial"/>
          <w:szCs w:val="20"/>
        </w:rPr>
        <w:t>Bosnia and Herzegovina, Bulgaria, Czech Republic, Denmark,</w:t>
      </w:r>
      <w:r w:rsidR="00536AE8">
        <w:rPr>
          <w:rFonts w:cs="Arial"/>
          <w:szCs w:val="20"/>
        </w:rPr>
        <w:t xml:space="preserve"> Estonia</w:t>
      </w:r>
      <w:r w:rsidR="002F294D">
        <w:rPr>
          <w:rStyle w:val="FootnoteReference"/>
          <w:rFonts w:cs="Arial"/>
          <w:szCs w:val="20"/>
        </w:rPr>
        <w:footnoteReference w:id="2"/>
      </w:r>
      <w:r w:rsidR="00536AE8">
        <w:rPr>
          <w:rFonts w:cs="Arial"/>
          <w:szCs w:val="20"/>
        </w:rPr>
        <w:t>,</w:t>
      </w:r>
      <w:r>
        <w:rPr>
          <w:rFonts w:cs="Arial"/>
          <w:szCs w:val="20"/>
        </w:rPr>
        <w:t xml:space="preserve"> Finland</w:t>
      </w:r>
      <w:r w:rsidR="00536AE8">
        <w:rPr>
          <w:rFonts w:cs="Arial"/>
          <w:szCs w:val="20"/>
        </w:rPr>
        <w:t>,</w:t>
      </w:r>
      <w:r w:rsidR="00536AE8" w:rsidRPr="00536AE8">
        <w:t xml:space="preserve"> </w:t>
      </w:r>
      <w:r w:rsidR="00536AE8">
        <w:t xml:space="preserve">The </w:t>
      </w:r>
      <w:r w:rsidR="00536AE8" w:rsidRPr="00536AE8">
        <w:rPr>
          <w:rFonts w:cs="Arial"/>
          <w:szCs w:val="20"/>
        </w:rPr>
        <w:t>Former Yugoslavian Republic of Macedonia (FYROM)</w:t>
      </w:r>
      <w:r>
        <w:rPr>
          <w:rFonts w:cs="Arial"/>
          <w:szCs w:val="20"/>
        </w:rPr>
        <w:t>, France, Greece, Hungary, Ireland, Latvia,</w:t>
      </w:r>
      <w:r w:rsidR="00536AE8">
        <w:rPr>
          <w:rFonts w:cs="Arial"/>
          <w:szCs w:val="20"/>
        </w:rPr>
        <w:t xml:space="preserve"> Luxembourg</w:t>
      </w:r>
      <w:r w:rsidR="002F294D" w:rsidRPr="002F294D">
        <w:rPr>
          <w:rFonts w:cs="Arial"/>
          <w:szCs w:val="20"/>
          <w:vertAlign w:val="superscript"/>
        </w:rPr>
        <w:t>1</w:t>
      </w:r>
      <w:r w:rsidR="00536AE8">
        <w:rPr>
          <w:rFonts w:cs="Arial"/>
          <w:szCs w:val="20"/>
        </w:rPr>
        <w:t>, Malta</w:t>
      </w:r>
      <w:r w:rsidR="002F294D" w:rsidRPr="002F294D">
        <w:rPr>
          <w:rFonts w:cs="Arial"/>
          <w:szCs w:val="20"/>
          <w:vertAlign w:val="superscript"/>
        </w:rPr>
        <w:t>1</w:t>
      </w:r>
      <w:r w:rsidR="00536AE8">
        <w:rPr>
          <w:rFonts w:cs="Arial"/>
          <w:szCs w:val="20"/>
        </w:rPr>
        <w:t>,</w:t>
      </w:r>
      <w:r>
        <w:rPr>
          <w:rFonts w:cs="Arial"/>
          <w:szCs w:val="20"/>
        </w:rPr>
        <w:t xml:space="preserve"> Montenegro, The Netherlands, Norway, Portugal, Slovakia, Slovenia, Spain, Sweden, Switzerland, Turkey</w:t>
      </w:r>
      <w:r w:rsidR="00536AE8">
        <w:rPr>
          <w:rFonts w:cs="Arial"/>
          <w:szCs w:val="20"/>
        </w:rPr>
        <w:t>,</w:t>
      </w:r>
      <w:r>
        <w:rPr>
          <w:rFonts w:cs="Arial"/>
          <w:szCs w:val="20"/>
        </w:rPr>
        <w:t xml:space="preserve"> Ukraine</w:t>
      </w:r>
      <w:r w:rsidR="00536AE8">
        <w:rPr>
          <w:rFonts w:cs="Arial"/>
          <w:szCs w:val="20"/>
        </w:rPr>
        <w:t xml:space="preserve"> and United Kingdom</w:t>
      </w:r>
      <w:r>
        <w:rPr>
          <w:rFonts w:cs="Arial"/>
          <w:szCs w:val="20"/>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7"/>
        <w:gridCol w:w="7267"/>
      </w:tblGrid>
      <w:tr w:rsidR="00C87F52" w:rsidTr="00C87F52">
        <w:trPr>
          <w:jc w:val="center"/>
        </w:trPr>
        <w:tc>
          <w:tcPr>
            <w:tcW w:w="7252" w:type="dxa"/>
          </w:tcPr>
          <w:p w:rsidR="00C87F52" w:rsidRDefault="00C87F52" w:rsidP="00C87F52">
            <w:pPr>
              <w:spacing w:line="276" w:lineRule="auto"/>
              <w:jc w:val="center"/>
              <w:rPr>
                <w:rFonts w:cs="Arial"/>
                <w:szCs w:val="20"/>
              </w:rPr>
            </w:pPr>
            <w:r>
              <w:rPr>
                <w:noProof/>
                <w:lang w:val="en-US"/>
              </w:rPr>
              <w:drawing>
                <wp:inline distT="0" distB="0" distL="0" distR="0" wp14:anchorId="130E4FE1" wp14:editId="271B1407">
                  <wp:extent cx="4525247" cy="3295462"/>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27543" cy="3297134"/>
                          </a:xfrm>
                          <a:prstGeom prst="rect">
                            <a:avLst/>
                          </a:prstGeom>
                        </pic:spPr>
                      </pic:pic>
                    </a:graphicData>
                  </a:graphic>
                </wp:inline>
              </w:drawing>
            </w:r>
          </w:p>
        </w:tc>
        <w:tc>
          <w:tcPr>
            <w:tcW w:w="7252" w:type="dxa"/>
          </w:tcPr>
          <w:p w:rsidR="00C87F52" w:rsidRDefault="00C87F52" w:rsidP="00C87F52">
            <w:pPr>
              <w:spacing w:line="276" w:lineRule="auto"/>
              <w:jc w:val="center"/>
              <w:rPr>
                <w:rFonts w:cs="Arial"/>
                <w:szCs w:val="20"/>
              </w:rPr>
            </w:pPr>
            <w:r>
              <w:rPr>
                <w:noProof/>
                <w:lang w:val="en-US"/>
              </w:rPr>
              <w:drawing>
                <wp:inline distT="0" distB="0" distL="0" distR="0" wp14:anchorId="54DC073D" wp14:editId="180E9FEE">
                  <wp:extent cx="4544840" cy="3294233"/>
                  <wp:effectExtent l="0" t="0" r="825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53953" cy="3300838"/>
                          </a:xfrm>
                          <a:prstGeom prst="rect">
                            <a:avLst/>
                          </a:prstGeom>
                        </pic:spPr>
                      </pic:pic>
                    </a:graphicData>
                  </a:graphic>
                </wp:inline>
              </w:drawing>
            </w:r>
          </w:p>
        </w:tc>
      </w:tr>
    </w:tbl>
    <w:p w:rsidR="002F294D" w:rsidRDefault="002F294D" w:rsidP="00C87F52">
      <w:pPr>
        <w:keepNext/>
        <w:keepLines/>
        <w:spacing w:line="276" w:lineRule="auto"/>
        <w:jc w:val="left"/>
        <w:rPr>
          <w:rFonts w:cs="Arial"/>
          <w:szCs w:val="20"/>
        </w:rPr>
      </w:pPr>
      <w:r>
        <w:rPr>
          <w:rFonts w:cs="Arial"/>
          <w:szCs w:val="20"/>
        </w:rPr>
        <w:lastRenderedPageBreak/>
        <w:t xml:space="preserve">Several CEPT administrations indicated either additional or alternative implementation of the FS links according to </w:t>
      </w:r>
      <w:r w:rsidRPr="00F56CD0">
        <w:rPr>
          <w:rFonts w:cs="Arial"/>
          <w:b/>
          <w:szCs w:val="20"/>
        </w:rPr>
        <w:t>ITU-R Recommendation F.383-9</w:t>
      </w:r>
      <w:r>
        <w:rPr>
          <w:rFonts w:cs="Arial"/>
          <w:szCs w:val="20"/>
        </w:rPr>
        <w:t>, with reference to different channel bandwidth, namely:</w:t>
      </w:r>
    </w:p>
    <w:p w:rsidR="002F294D" w:rsidRDefault="002F294D" w:rsidP="00C87F52">
      <w:pPr>
        <w:pStyle w:val="ECCBulletsLv1"/>
        <w:keepNext/>
        <w:keepLines/>
      </w:pPr>
      <w:r>
        <w:t>5 MHz: Russian Federation</w:t>
      </w:r>
    </w:p>
    <w:p w:rsidR="002F294D" w:rsidRDefault="002F294D" w:rsidP="00C87F52">
      <w:pPr>
        <w:pStyle w:val="ECCBulletsLv1"/>
        <w:keepNext/>
        <w:keepLines/>
      </w:pPr>
      <w:r>
        <w:t>10 MHz: Austria</w:t>
      </w:r>
    </w:p>
    <w:p w:rsidR="002F294D" w:rsidRDefault="002F294D" w:rsidP="00C87F52">
      <w:pPr>
        <w:pStyle w:val="ECCBulletsLv1"/>
        <w:keepNext/>
        <w:keepLines/>
      </w:pPr>
      <w:r>
        <w:t>20 MHz: Azerbaijan and Lithuania</w:t>
      </w:r>
    </w:p>
    <w:p w:rsidR="002F294D" w:rsidRDefault="002F294D" w:rsidP="00C87F52">
      <w:pPr>
        <w:pStyle w:val="ECCBulletsLv1"/>
        <w:keepNext/>
        <w:keepLines/>
      </w:pPr>
      <w:r>
        <w:t xml:space="preserve">28 MHz: Austria, Georgia, Italy, Russian Federation and Ukraine </w:t>
      </w:r>
    </w:p>
    <w:p w:rsidR="002F294D" w:rsidRDefault="002F294D" w:rsidP="00C87F52">
      <w:pPr>
        <w:pStyle w:val="ECCBulletsLv1"/>
        <w:keepNext/>
        <w:keepLines/>
      </w:pPr>
      <w:r>
        <w:t>29.65 MHz: Germany, Italy, Montenegro, Russian Federation and Ukraine</w:t>
      </w:r>
    </w:p>
    <w:p w:rsidR="002F294D" w:rsidRDefault="002F294D" w:rsidP="00C87F52">
      <w:pPr>
        <w:pStyle w:val="ECCBulletsLv1"/>
        <w:keepNext/>
        <w:keepLines/>
      </w:pPr>
      <w:r>
        <w:t>59.3 MHz: Germany and Russian Federation</w:t>
      </w:r>
    </w:p>
    <w:p w:rsidR="00A4751E" w:rsidRDefault="00F56CD0" w:rsidP="00B02F85">
      <w:pPr>
        <w:spacing w:line="276" w:lineRule="auto"/>
        <w:jc w:val="left"/>
        <w:rPr>
          <w:rFonts w:cs="Arial"/>
          <w:szCs w:val="20"/>
        </w:rPr>
      </w:pPr>
      <w:r>
        <w:rPr>
          <w:rFonts w:cs="Arial"/>
          <w:szCs w:val="20"/>
        </w:rPr>
        <w:t xml:space="preserve">Austria, Slovenia, Malta and France have reported that implementation according to </w:t>
      </w:r>
      <w:r w:rsidR="00E7581E" w:rsidRPr="00B02F85">
        <w:rPr>
          <w:rFonts w:cs="Arial"/>
          <w:szCs w:val="20"/>
        </w:rPr>
        <w:t>ECC/</w:t>
      </w:r>
      <w:proofErr w:type="gramStart"/>
      <w:r w:rsidR="00E7581E" w:rsidRPr="00B02F85">
        <w:rPr>
          <w:rFonts w:cs="Arial"/>
          <w:szCs w:val="20"/>
        </w:rPr>
        <w:t>REC(</w:t>
      </w:r>
      <w:proofErr w:type="gramEnd"/>
      <w:r w:rsidR="00E7581E" w:rsidRPr="00B02F85">
        <w:rPr>
          <w:rFonts w:cs="Arial"/>
          <w:szCs w:val="20"/>
        </w:rPr>
        <w:t>14)06</w:t>
      </w:r>
      <w:r>
        <w:rPr>
          <w:rFonts w:cs="Arial"/>
          <w:szCs w:val="20"/>
        </w:rPr>
        <w:t xml:space="preserve"> is also allowed although no FS link has been deployed. Austria and France indicated that </w:t>
      </w:r>
      <w:r w:rsidR="00E7581E" w:rsidRPr="00B02F85">
        <w:rPr>
          <w:rFonts w:cs="Arial"/>
          <w:szCs w:val="20"/>
        </w:rPr>
        <w:t>the</w:t>
      </w:r>
      <w:r w:rsidRPr="00B02F85">
        <w:rPr>
          <w:rFonts w:cs="Arial"/>
          <w:szCs w:val="20"/>
        </w:rPr>
        <w:t xml:space="preserve"> arrangement</w:t>
      </w:r>
      <w:r w:rsidR="00E7581E" w:rsidRPr="00B02F85">
        <w:rPr>
          <w:rFonts w:cs="Arial"/>
          <w:szCs w:val="20"/>
        </w:rPr>
        <w:t xml:space="preserve"> provided by ECC/REC(14)06 </w:t>
      </w:r>
      <w:r w:rsidRPr="00B02F85">
        <w:rPr>
          <w:rFonts w:cs="Arial"/>
          <w:szCs w:val="20"/>
        </w:rPr>
        <w:t>is foreseen for a migration of narrow band links from the 1500 MHz range to the 6 GHz range.</w:t>
      </w:r>
    </w:p>
    <w:p w:rsidR="00A4751E" w:rsidRDefault="00A4751E">
      <w:pPr>
        <w:rPr>
          <w:rFonts w:cs="Arial"/>
          <w:szCs w:val="20"/>
        </w:rPr>
      </w:pPr>
      <w:r>
        <w:rPr>
          <w:rFonts w:cs="Arial"/>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2"/>
        <w:gridCol w:w="7252"/>
      </w:tblGrid>
      <w:tr w:rsidR="00A4751E" w:rsidTr="00A4751E">
        <w:tc>
          <w:tcPr>
            <w:tcW w:w="7252" w:type="dxa"/>
          </w:tcPr>
          <w:p w:rsidR="00A4751E" w:rsidRDefault="00A4751E" w:rsidP="001D5DF4">
            <w:pPr>
              <w:spacing w:line="276" w:lineRule="auto"/>
              <w:jc w:val="left"/>
              <w:rPr>
                <w:rFonts w:cs="Arial"/>
                <w:szCs w:val="20"/>
              </w:rPr>
            </w:pPr>
            <w:r>
              <w:rPr>
                <w:rFonts w:cs="Arial"/>
                <w:szCs w:val="20"/>
              </w:rPr>
              <w:lastRenderedPageBreak/>
              <w:t xml:space="preserve">The information on the specific adopted channel arrangement and bandwidth was provided by CEPT administration in relation to a set of 8094 links (out of a total of </w:t>
            </w:r>
            <w:r w:rsidR="001D5DF4">
              <w:rPr>
                <w:rFonts w:cs="Arial"/>
                <w:szCs w:val="20"/>
              </w:rPr>
              <w:t>11738</w:t>
            </w:r>
            <w:r>
              <w:rPr>
                <w:rFonts w:cs="Arial"/>
                <w:szCs w:val="20"/>
              </w:rPr>
              <w:t xml:space="preserve">). More than a half of the FS links (5924) are deployed according to ERC/REC 14-01 with channels of 29.65 MHz; channel bandwidth of 59.3 MHz is also reported. </w:t>
            </w:r>
          </w:p>
          <w:p w:rsidR="00A4751E" w:rsidRDefault="00A4751E" w:rsidP="001D5DF4">
            <w:pPr>
              <w:spacing w:line="276" w:lineRule="auto"/>
              <w:jc w:val="left"/>
              <w:rPr>
                <w:rFonts w:cs="Arial"/>
                <w:szCs w:val="20"/>
              </w:rPr>
            </w:pPr>
            <w:r>
              <w:rPr>
                <w:rFonts w:cs="Arial"/>
                <w:szCs w:val="20"/>
              </w:rPr>
              <w:t>As for the implementation of ITU-R Recommendation F.383-9, the most common bandwidth is again 29.65 MHz, but implementation with 20 MHz, 28 MHz and 59.3 MHz are also reported for a few hundreds of FS links.</w:t>
            </w:r>
          </w:p>
          <w:p w:rsidR="00A4751E" w:rsidRDefault="00A4751E" w:rsidP="001D5DF4">
            <w:pPr>
              <w:spacing w:line="276" w:lineRule="auto"/>
              <w:jc w:val="left"/>
              <w:rPr>
                <w:rFonts w:cs="Arial"/>
                <w:szCs w:val="20"/>
              </w:rPr>
            </w:pPr>
          </w:p>
        </w:tc>
        <w:tc>
          <w:tcPr>
            <w:tcW w:w="7252" w:type="dxa"/>
          </w:tcPr>
          <w:p w:rsidR="00A4751E" w:rsidRDefault="00A4751E" w:rsidP="001D5DF4">
            <w:pPr>
              <w:spacing w:line="276" w:lineRule="auto"/>
              <w:jc w:val="left"/>
              <w:rPr>
                <w:rFonts w:cs="Arial"/>
                <w:szCs w:val="20"/>
              </w:rPr>
            </w:pPr>
            <w:r>
              <w:rPr>
                <w:rFonts w:cs="Arial"/>
                <w:b/>
                <w:noProof/>
                <w:szCs w:val="20"/>
                <w:lang w:val="en-US"/>
              </w:rPr>
              <w:drawing>
                <wp:inline distT="0" distB="0" distL="0" distR="0" wp14:anchorId="1735A142" wp14:editId="7F7822C3">
                  <wp:extent cx="4424153" cy="3311102"/>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23918" cy="3310926"/>
                          </a:xfrm>
                          <a:prstGeom prst="rect">
                            <a:avLst/>
                          </a:prstGeom>
                          <a:noFill/>
                        </pic:spPr>
                      </pic:pic>
                    </a:graphicData>
                  </a:graphic>
                </wp:inline>
              </w:drawing>
            </w:r>
          </w:p>
        </w:tc>
      </w:tr>
    </w:tbl>
    <w:p w:rsidR="00975E4A" w:rsidRDefault="00975E4A">
      <w:pPr>
        <w:rPr>
          <w:rFonts w:cs="Arial"/>
          <w:b/>
          <w:szCs w:val="20"/>
        </w:rPr>
      </w:pPr>
    </w:p>
    <w:p w:rsidR="00817CFB" w:rsidRDefault="00F56CD0">
      <w:pPr>
        <w:rPr>
          <w:rFonts w:cs="Arial"/>
          <w:b/>
          <w:szCs w:val="20"/>
        </w:rPr>
      </w:pPr>
      <w:r>
        <w:rPr>
          <w:rFonts w:cs="Arial"/>
          <w:b/>
          <w:szCs w:val="20"/>
        </w:rPr>
        <w:t xml:space="preserve">Additional information under question 5: </w:t>
      </w:r>
    </w:p>
    <w:tbl>
      <w:tblPr>
        <w:tblStyle w:val="Question-group-table"/>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1740"/>
        <w:gridCol w:w="12773"/>
      </w:tblGrid>
      <w:tr w:rsidR="009B1CC5" w:rsidTr="00E7581E">
        <w:trPr>
          <w:tblCellSpacing w:w="15" w:type="dxa"/>
        </w:trPr>
        <w:tc>
          <w:tcPr>
            <w:tcW w:w="169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9B1CC5" w:rsidRDefault="00F56CD0" w:rsidP="00536AE8">
            <w:r>
              <w:rPr>
                <w:rFonts w:ascii="Verdana" w:eastAsia="Verdana" w:hAnsi="Verdana" w:cs="Verdana"/>
                <w:sz w:val="18"/>
                <w:szCs w:val="18"/>
                <w:bdr w:val="nil"/>
              </w:rPr>
              <w:t>United Kingdom</w:t>
            </w:r>
          </w:p>
        </w:tc>
        <w:tc>
          <w:tcPr>
            <w:tcW w:w="1272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9B1CC5" w:rsidRDefault="00F56CD0" w:rsidP="00E7581E">
            <w:r>
              <w:rPr>
                <w:rStyle w:val="Textarea"/>
                <w:rFonts w:ascii="Verdana" w:eastAsia="Verdana" w:hAnsi="Verdana" w:cs="Verdana"/>
                <w:sz w:val="18"/>
                <w:szCs w:val="18"/>
              </w:rPr>
              <w:t>Please see further information and guidance contained in OfW48 (</w:t>
            </w:r>
            <w:hyperlink r:id="rId27" w:history="1">
              <w:r w:rsidRPr="00D01344">
                <w:rPr>
                  <w:rStyle w:val="Hyperlink"/>
                  <w:rFonts w:ascii="Verdana" w:eastAsia="Verdana" w:hAnsi="Verdana" w:cs="Verdana"/>
                  <w:sz w:val="18"/>
                  <w:szCs w:val="18"/>
                  <w:bdr w:val="nil"/>
                </w:rPr>
                <w:t>https://www.ofcom.org.uk/__data/assets/pdf_file/0016/92203/ofw48.pdf</w:t>
              </w:r>
            </w:hyperlink>
            <w:r>
              <w:rPr>
                <w:rStyle w:val="Textarea"/>
                <w:rFonts w:ascii="Verdana" w:eastAsia="Verdana" w:hAnsi="Verdana" w:cs="Verdana"/>
                <w:sz w:val="18"/>
                <w:szCs w:val="18"/>
              </w:rPr>
              <w:t>) UK Frequency Allocations for Fixed (Point-to-Point) Wireless Services and Scanning Telemetry and OfW446 (</w:t>
            </w:r>
            <w:hyperlink r:id="rId28" w:history="1">
              <w:r w:rsidRPr="00D01344">
                <w:rPr>
                  <w:rStyle w:val="Hyperlink"/>
                  <w:rFonts w:ascii="Verdana" w:eastAsia="Verdana" w:hAnsi="Verdana" w:cs="Verdana"/>
                  <w:sz w:val="18"/>
                  <w:szCs w:val="18"/>
                  <w:bdr w:val="nil"/>
                </w:rPr>
                <w:t>https://www.ofcom.org.uk/__data/assets/pdf_file/0017/92204/ofw446.pdf</w:t>
              </w:r>
            </w:hyperlink>
            <w:r>
              <w:rPr>
                <w:rStyle w:val="Textarea"/>
                <w:rFonts w:ascii="Verdana" w:eastAsia="Verdana" w:hAnsi="Verdana" w:cs="Verdana"/>
                <w:sz w:val="18"/>
                <w:szCs w:val="18"/>
              </w:rPr>
              <w:t>) Technical Frequency Assignment Criteria for Fixed Point-to-Point Radio Services with Digital Modulation.</w:t>
            </w:r>
          </w:p>
        </w:tc>
      </w:tr>
    </w:tbl>
    <w:p w:rsidR="004B16DC" w:rsidRPr="00935E91" w:rsidRDefault="004B16DC">
      <w:pPr>
        <w:rPr>
          <w:rFonts w:cs="Arial"/>
          <w:b/>
          <w:szCs w:val="20"/>
        </w:rPr>
      </w:pPr>
      <w:r w:rsidRPr="00935E91">
        <w:rPr>
          <w:rFonts w:cs="Arial"/>
          <w:b/>
          <w:szCs w:val="20"/>
        </w:rPr>
        <w:br w:type="page"/>
      </w:r>
    </w:p>
    <w:p w:rsidR="004B16DC" w:rsidRDefault="004B16DC" w:rsidP="004B16DC">
      <w:pPr>
        <w:rPr>
          <w:rFonts w:cs="Arial"/>
          <w:b/>
          <w:szCs w:val="20"/>
        </w:rPr>
      </w:pPr>
      <w:r w:rsidRPr="00935E91">
        <w:rPr>
          <w:rFonts w:cs="Arial"/>
          <w:b/>
          <w:szCs w:val="20"/>
        </w:rPr>
        <w:lastRenderedPageBreak/>
        <w:t>Question 6: What is the distribution of the technical parameters modulation rate, antenna gain, antenna height, transmit power at antenna port? Please indicate distribution in Tables 3A-3D (spreadsheet), please also indicate if adaptive modulation and/or automatic transmit power control is allowed and in use.</w:t>
      </w:r>
    </w:p>
    <w:p w:rsidR="006B7F54" w:rsidRDefault="006B7F54" w:rsidP="006B7F54">
      <w:pPr>
        <w:spacing w:line="276" w:lineRule="auto"/>
        <w:jc w:val="left"/>
        <w:rPr>
          <w:rFonts w:cs="Arial"/>
          <w:szCs w:val="20"/>
        </w:rPr>
      </w:pPr>
      <w:r>
        <w:rPr>
          <w:rFonts w:cs="Arial"/>
          <w:szCs w:val="20"/>
        </w:rPr>
        <w:t xml:space="preserve">The information on the specific adopted modulation rate was provided by CEPT administration in relation to a set of 7355 FS links (out of a total of </w:t>
      </w:r>
      <w:r w:rsidR="001D5DF4">
        <w:rPr>
          <w:rFonts w:cs="Arial"/>
          <w:szCs w:val="20"/>
        </w:rPr>
        <w:t>11738</w:t>
      </w:r>
      <w:r>
        <w:rPr>
          <w:rFonts w:cs="Arial"/>
          <w:szCs w:val="20"/>
        </w:rPr>
        <w:t xml:space="preserve">). </w:t>
      </w:r>
      <w:r w:rsidR="00975E4A">
        <w:rPr>
          <w:rFonts w:cs="Arial"/>
          <w:szCs w:val="20"/>
        </w:rPr>
        <w:t>Almost</w:t>
      </w:r>
      <w:r>
        <w:rPr>
          <w:rFonts w:cs="Arial"/>
          <w:szCs w:val="20"/>
        </w:rPr>
        <w:t xml:space="preserve"> one third of the FS links adopts </w:t>
      </w:r>
      <w:r w:rsidR="00CD038D">
        <w:rPr>
          <w:rFonts w:cs="Arial"/>
          <w:szCs w:val="20"/>
        </w:rPr>
        <w:t>a 128QAM modulation rate. Further details are shown in the following figures with reference to</w:t>
      </w:r>
      <w:r w:rsidR="001B2C40">
        <w:rPr>
          <w:rFonts w:cs="Arial"/>
          <w:szCs w:val="20"/>
        </w:rPr>
        <w:t xml:space="preserve"> both</w:t>
      </w:r>
      <w:r w:rsidR="00CD038D">
        <w:rPr>
          <w:rFonts w:cs="Arial"/>
          <w:szCs w:val="20"/>
        </w:rPr>
        <w:t xml:space="preserve"> the number and percentage of FS links.</w:t>
      </w:r>
      <w:r>
        <w:rPr>
          <w:rFonts w:cs="Arial"/>
          <w:szCs w:val="20"/>
        </w:rPr>
        <w:t xml:space="preserve"> </w:t>
      </w:r>
    </w:p>
    <w:p w:rsidR="00975E4A" w:rsidRDefault="00975E4A" w:rsidP="006B7F54">
      <w:pPr>
        <w:spacing w:line="276" w:lineRule="auto"/>
        <w:jc w:val="left"/>
        <w:rPr>
          <w:rFonts w:cs="Arial"/>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2"/>
        <w:gridCol w:w="7252"/>
      </w:tblGrid>
      <w:tr w:rsidR="003876E4" w:rsidTr="00536AE8">
        <w:tc>
          <w:tcPr>
            <w:tcW w:w="7252" w:type="dxa"/>
          </w:tcPr>
          <w:p w:rsidR="003876E4" w:rsidRDefault="001D5DF4" w:rsidP="00536AE8">
            <w:pPr>
              <w:rPr>
                <w:rFonts w:cs="Arial"/>
                <w:szCs w:val="20"/>
              </w:rPr>
            </w:pPr>
            <w:r>
              <w:rPr>
                <w:rFonts w:cs="Arial"/>
                <w:noProof/>
                <w:szCs w:val="20"/>
                <w:lang w:val="en-US"/>
              </w:rPr>
              <w:drawing>
                <wp:inline distT="0" distB="0" distL="0" distR="0" wp14:anchorId="0D143B6F" wp14:editId="5C38C9E5">
                  <wp:extent cx="4391937" cy="2692400"/>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93206" cy="2693178"/>
                          </a:xfrm>
                          <a:prstGeom prst="rect">
                            <a:avLst/>
                          </a:prstGeom>
                          <a:noFill/>
                        </pic:spPr>
                      </pic:pic>
                    </a:graphicData>
                  </a:graphic>
                </wp:inline>
              </w:drawing>
            </w:r>
          </w:p>
        </w:tc>
        <w:tc>
          <w:tcPr>
            <w:tcW w:w="7252" w:type="dxa"/>
          </w:tcPr>
          <w:p w:rsidR="003876E4" w:rsidRDefault="001D5DF4" w:rsidP="00536AE8">
            <w:pPr>
              <w:rPr>
                <w:rFonts w:cs="Arial"/>
                <w:szCs w:val="20"/>
              </w:rPr>
            </w:pPr>
            <w:r>
              <w:rPr>
                <w:rFonts w:cs="Arial"/>
                <w:noProof/>
                <w:szCs w:val="20"/>
                <w:lang w:val="en-US"/>
              </w:rPr>
              <w:drawing>
                <wp:inline distT="0" distB="0" distL="0" distR="0" wp14:anchorId="3CB4AA27">
                  <wp:extent cx="4375599" cy="2683925"/>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2287" cy="2688027"/>
                          </a:xfrm>
                          <a:prstGeom prst="rect">
                            <a:avLst/>
                          </a:prstGeom>
                          <a:noFill/>
                        </pic:spPr>
                      </pic:pic>
                    </a:graphicData>
                  </a:graphic>
                </wp:inline>
              </w:drawing>
            </w:r>
          </w:p>
        </w:tc>
      </w:tr>
    </w:tbl>
    <w:p w:rsidR="001A702C" w:rsidRDefault="001A702C" w:rsidP="004B16DC">
      <w:pPr>
        <w:rPr>
          <w:rFonts w:cs="Arial"/>
          <w:szCs w:val="20"/>
        </w:rPr>
      </w:pPr>
    </w:p>
    <w:p w:rsidR="001A702C" w:rsidRDefault="001A702C">
      <w:pPr>
        <w:rPr>
          <w:rFonts w:cs="Arial"/>
          <w:szCs w:val="20"/>
        </w:rPr>
      </w:pPr>
      <w:r>
        <w:rPr>
          <w:rFonts w:cs="Arial"/>
          <w:szCs w:val="20"/>
        </w:rPr>
        <w:br w:type="page"/>
      </w:r>
    </w:p>
    <w:p w:rsidR="00E768B0" w:rsidRDefault="001A702C" w:rsidP="00885C24">
      <w:pPr>
        <w:rPr>
          <w:rFonts w:cs="Arial"/>
          <w:szCs w:val="20"/>
        </w:rPr>
      </w:pPr>
      <w:r>
        <w:rPr>
          <w:rFonts w:ascii="Verdana" w:eastAsia="Verdana" w:hAnsi="Verdana" w:cs="Verdana"/>
          <w:sz w:val="18"/>
          <w:szCs w:val="18"/>
        </w:rPr>
        <w:lastRenderedPageBreak/>
        <w:t>Information</w:t>
      </w:r>
      <w:r w:rsidR="006305FD">
        <w:rPr>
          <w:rFonts w:ascii="Verdana" w:eastAsia="Verdana" w:hAnsi="Verdana" w:cs="Verdana"/>
          <w:sz w:val="18"/>
          <w:szCs w:val="18"/>
        </w:rPr>
        <w:t xml:space="preserve"> </w:t>
      </w:r>
      <w:r w:rsidR="00D45C6C">
        <w:rPr>
          <w:rFonts w:cs="Arial"/>
          <w:szCs w:val="20"/>
        </w:rPr>
        <w:t>on the implementation of</w:t>
      </w:r>
      <w:r>
        <w:rPr>
          <w:rFonts w:cs="Arial"/>
          <w:szCs w:val="20"/>
        </w:rPr>
        <w:t xml:space="preserve"> </w:t>
      </w:r>
      <w:r w:rsidR="00885C24">
        <w:rPr>
          <w:rFonts w:ascii="Verdana" w:eastAsia="Verdana" w:hAnsi="Verdana" w:cs="Verdana"/>
          <w:b/>
          <w:sz w:val="18"/>
          <w:szCs w:val="18"/>
        </w:rPr>
        <w:t>adaptive modulation</w:t>
      </w:r>
      <w:r w:rsidR="006305FD">
        <w:rPr>
          <w:rFonts w:ascii="Verdana" w:eastAsia="Verdana" w:hAnsi="Verdana" w:cs="Verdana"/>
          <w:sz w:val="18"/>
          <w:szCs w:val="18"/>
        </w:rPr>
        <w:t xml:space="preserve"> was provided</w:t>
      </w:r>
      <w:r>
        <w:rPr>
          <w:rFonts w:ascii="Verdana" w:eastAsia="Verdana" w:hAnsi="Verdana" w:cs="Verdana"/>
          <w:sz w:val="18"/>
          <w:szCs w:val="18"/>
        </w:rPr>
        <w:t xml:space="preserve"> only</w:t>
      </w:r>
      <w:r w:rsidR="006305FD">
        <w:rPr>
          <w:rFonts w:ascii="Verdana" w:eastAsia="Verdana" w:hAnsi="Verdana" w:cs="Verdana"/>
          <w:sz w:val="18"/>
          <w:szCs w:val="18"/>
        </w:rPr>
        <w:t xml:space="preserve"> by </w:t>
      </w:r>
      <w:r>
        <w:rPr>
          <w:rFonts w:ascii="Verdana" w:eastAsia="Verdana" w:hAnsi="Verdana" w:cs="Verdana"/>
          <w:sz w:val="18"/>
          <w:szCs w:val="18"/>
        </w:rPr>
        <w:t>a small number of CEPT administrations</w:t>
      </w:r>
      <w:r w:rsidR="00D45C6C">
        <w:rPr>
          <w:rFonts w:ascii="Verdana" w:eastAsia="Verdana" w:hAnsi="Verdana" w:cs="Verdana"/>
          <w:sz w:val="18"/>
          <w:szCs w:val="18"/>
        </w:rPr>
        <w:t xml:space="preserve"> (see the table below)</w:t>
      </w:r>
      <w:r w:rsidR="00E768B0">
        <w:rPr>
          <w:rFonts w:ascii="Verdana" w:eastAsia="Verdana" w:hAnsi="Verdana" w:cs="Verdana"/>
          <w:sz w:val="18"/>
          <w:szCs w:val="18"/>
        </w:rPr>
        <w:t>, in relation to 335 FS links (</w:t>
      </w:r>
      <w:r w:rsidR="00E768B0">
        <w:rPr>
          <w:rFonts w:cs="Arial"/>
          <w:szCs w:val="20"/>
        </w:rPr>
        <w:t>out of</w:t>
      </w:r>
      <w:r w:rsidR="00975E4A">
        <w:rPr>
          <w:rFonts w:cs="Arial"/>
          <w:szCs w:val="20"/>
        </w:rPr>
        <w:t xml:space="preserve"> a total of </w:t>
      </w:r>
      <w:r w:rsidR="001D5DF4">
        <w:rPr>
          <w:rFonts w:cs="Arial"/>
          <w:szCs w:val="20"/>
        </w:rPr>
        <w:t>11738</w:t>
      </w:r>
      <w:r w:rsidR="00E768B0">
        <w:rPr>
          <w:rFonts w:cs="Arial"/>
          <w:szCs w:val="20"/>
        </w:rPr>
        <w:t>)</w:t>
      </w:r>
      <w:r w:rsidR="00D45C6C">
        <w:rPr>
          <w:rFonts w:ascii="Verdana" w:eastAsia="Verdana" w:hAnsi="Verdana" w:cs="Verdana"/>
          <w:sz w:val="18"/>
          <w:szCs w:val="18"/>
        </w:rPr>
        <w:t>.</w:t>
      </w:r>
      <w:r w:rsidR="00885C24" w:rsidRPr="00885C24">
        <w:rPr>
          <w:rFonts w:cs="Arial"/>
          <w:szCs w:val="20"/>
        </w:rPr>
        <w:t xml:space="preserve"> </w:t>
      </w:r>
    </w:p>
    <w:p w:rsidR="00885C24" w:rsidRDefault="00885C24" w:rsidP="00885C24">
      <w:pPr>
        <w:rPr>
          <w:rFonts w:cs="Arial"/>
          <w:szCs w:val="20"/>
        </w:rPr>
      </w:pPr>
      <w:r>
        <w:rPr>
          <w:rFonts w:cs="Arial"/>
          <w:szCs w:val="20"/>
        </w:rPr>
        <w:t xml:space="preserve">Hungary, Spain, Sweden informed that adaptive modulation is allowed but not mandatory. </w:t>
      </w:r>
    </w:p>
    <w:p w:rsidR="00D45C6C" w:rsidRDefault="00D45C6C" w:rsidP="004B16DC">
      <w:pPr>
        <w:rPr>
          <w:rFonts w:ascii="Verdana" w:eastAsia="Verdana" w:hAnsi="Verdana" w:cs="Verdana"/>
          <w:sz w:val="18"/>
          <w:szCs w:val="18"/>
        </w:rPr>
      </w:pPr>
    </w:p>
    <w:tbl>
      <w:tblPr>
        <w:tblStyle w:val="ECCTable-redheader"/>
        <w:tblW w:w="0" w:type="auto"/>
        <w:tblInd w:w="-2325" w:type="dxa"/>
        <w:tblLook w:val="04A0" w:firstRow="1" w:lastRow="0" w:firstColumn="1" w:lastColumn="0" w:noHBand="0" w:noVBand="1"/>
      </w:tblPr>
      <w:tblGrid>
        <w:gridCol w:w="2653"/>
        <w:gridCol w:w="2970"/>
        <w:gridCol w:w="2991"/>
      </w:tblGrid>
      <w:tr w:rsidR="00D45C6C" w:rsidRPr="001A702C" w:rsidTr="00885C24">
        <w:trPr>
          <w:cnfStyle w:val="100000000000" w:firstRow="1" w:lastRow="0" w:firstColumn="0" w:lastColumn="0" w:oddVBand="0" w:evenVBand="0" w:oddHBand="0" w:evenHBand="0" w:firstRowFirstColumn="0" w:firstRowLastColumn="0" w:lastRowFirstColumn="0" w:lastRowLastColumn="0"/>
        </w:trPr>
        <w:tc>
          <w:tcPr>
            <w:tcW w:w="2653" w:type="dxa"/>
          </w:tcPr>
          <w:p w:rsidR="00D45C6C" w:rsidRPr="001A702C" w:rsidRDefault="00D45C6C" w:rsidP="00D45C6C">
            <w:pPr>
              <w:jc w:val="left"/>
              <w:rPr>
                <w:rFonts w:cs="Arial"/>
                <w:i w:val="0"/>
                <w:szCs w:val="20"/>
              </w:rPr>
            </w:pPr>
            <w:r w:rsidRPr="001A702C">
              <w:rPr>
                <w:rFonts w:cs="Arial"/>
                <w:i w:val="0"/>
                <w:szCs w:val="20"/>
              </w:rPr>
              <w:t>Country</w:t>
            </w:r>
          </w:p>
        </w:tc>
        <w:tc>
          <w:tcPr>
            <w:tcW w:w="2970" w:type="dxa"/>
          </w:tcPr>
          <w:p w:rsidR="00D45C6C" w:rsidRPr="001A702C" w:rsidRDefault="00D45C6C" w:rsidP="00885C24">
            <w:pPr>
              <w:rPr>
                <w:rFonts w:cs="Arial"/>
                <w:i w:val="0"/>
                <w:szCs w:val="20"/>
              </w:rPr>
            </w:pPr>
            <w:r>
              <w:rPr>
                <w:rFonts w:cs="Arial"/>
                <w:i w:val="0"/>
                <w:szCs w:val="20"/>
              </w:rPr>
              <w:t>number of</w:t>
            </w:r>
            <w:r w:rsidRPr="001A702C">
              <w:rPr>
                <w:rFonts w:cs="Arial"/>
                <w:i w:val="0"/>
                <w:szCs w:val="20"/>
              </w:rPr>
              <w:t xml:space="preserve"> FS link </w:t>
            </w:r>
            <w:r w:rsidR="00885C24">
              <w:rPr>
                <w:rFonts w:cs="Arial"/>
                <w:i w:val="0"/>
                <w:szCs w:val="20"/>
              </w:rPr>
              <w:br/>
            </w:r>
            <w:r w:rsidRPr="001A702C">
              <w:rPr>
                <w:rFonts w:cs="Arial"/>
                <w:i w:val="0"/>
                <w:szCs w:val="20"/>
              </w:rPr>
              <w:t xml:space="preserve">with </w:t>
            </w:r>
            <w:r w:rsidR="00885C24">
              <w:rPr>
                <w:rFonts w:cs="Arial"/>
                <w:i w:val="0"/>
                <w:szCs w:val="20"/>
              </w:rPr>
              <w:t>adaptive modulation</w:t>
            </w:r>
          </w:p>
        </w:tc>
        <w:tc>
          <w:tcPr>
            <w:tcW w:w="2991" w:type="dxa"/>
          </w:tcPr>
          <w:p w:rsidR="00D45C6C" w:rsidRPr="001A702C" w:rsidRDefault="00D45C6C" w:rsidP="00885C24">
            <w:pPr>
              <w:rPr>
                <w:rFonts w:cs="Arial"/>
                <w:i w:val="0"/>
                <w:szCs w:val="20"/>
              </w:rPr>
            </w:pPr>
            <w:r w:rsidRPr="001A702C">
              <w:rPr>
                <w:rFonts w:cs="Arial"/>
                <w:i w:val="0"/>
                <w:szCs w:val="20"/>
              </w:rPr>
              <w:t xml:space="preserve">% of FS link </w:t>
            </w:r>
            <w:r w:rsidR="00975E4A">
              <w:rPr>
                <w:rFonts w:cs="Arial"/>
                <w:i w:val="0"/>
                <w:szCs w:val="20"/>
              </w:rPr>
              <w:t>in the country</w:t>
            </w:r>
            <w:r w:rsidR="00885C24">
              <w:rPr>
                <w:rFonts w:cs="Arial"/>
                <w:i w:val="0"/>
                <w:szCs w:val="20"/>
              </w:rPr>
              <w:br/>
            </w:r>
            <w:r w:rsidRPr="001A702C">
              <w:rPr>
                <w:rFonts w:cs="Arial"/>
                <w:i w:val="0"/>
                <w:szCs w:val="20"/>
              </w:rPr>
              <w:t xml:space="preserve">with </w:t>
            </w:r>
            <w:r w:rsidR="00885C24">
              <w:rPr>
                <w:rFonts w:cs="Arial"/>
                <w:i w:val="0"/>
                <w:szCs w:val="20"/>
              </w:rPr>
              <w:t>adaptive modulation</w:t>
            </w:r>
          </w:p>
        </w:tc>
      </w:tr>
      <w:tr w:rsidR="00D45C6C" w:rsidTr="00885C24">
        <w:tc>
          <w:tcPr>
            <w:tcW w:w="2653" w:type="dxa"/>
          </w:tcPr>
          <w:p w:rsidR="00D45C6C" w:rsidRDefault="00D45C6C" w:rsidP="004B16DC">
            <w:pPr>
              <w:rPr>
                <w:rFonts w:cs="Arial"/>
                <w:szCs w:val="20"/>
              </w:rPr>
            </w:pPr>
            <w:r>
              <w:rPr>
                <w:rFonts w:cs="Arial"/>
                <w:szCs w:val="20"/>
              </w:rPr>
              <w:t>Albania</w:t>
            </w:r>
          </w:p>
        </w:tc>
        <w:tc>
          <w:tcPr>
            <w:tcW w:w="2970" w:type="dxa"/>
          </w:tcPr>
          <w:p w:rsidR="00D45C6C" w:rsidRDefault="00D45C6C" w:rsidP="001A702C">
            <w:pPr>
              <w:jc w:val="center"/>
              <w:rPr>
                <w:rFonts w:cs="Arial"/>
                <w:szCs w:val="20"/>
              </w:rPr>
            </w:pPr>
            <w:r>
              <w:rPr>
                <w:rFonts w:cs="Arial"/>
                <w:szCs w:val="20"/>
              </w:rPr>
              <w:t>25</w:t>
            </w:r>
          </w:p>
        </w:tc>
        <w:tc>
          <w:tcPr>
            <w:tcW w:w="2991" w:type="dxa"/>
          </w:tcPr>
          <w:p w:rsidR="00D45C6C" w:rsidRDefault="00D45C6C" w:rsidP="001A702C">
            <w:pPr>
              <w:jc w:val="center"/>
              <w:rPr>
                <w:rFonts w:cs="Arial"/>
                <w:szCs w:val="20"/>
              </w:rPr>
            </w:pPr>
            <w:r>
              <w:rPr>
                <w:rFonts w:cs="Arial"/>
                <w:szCs w:val="20"/>
              </w:rPr>
              <w:t>18%</w:t>
            </w:r>
          </w:p>
        </w:tc>
      </w:tr>
      <w:tr w:rsidR="00885C24" w:rsidTr="00885C24">
        <w:tc>
          <w:tcPr>
            <w:tcW w:w="2653" w:type="dxa"/>
          </w:tcPr>
          <w:p w:rsidR="00885C24" w:rsidRDefault="00461912" w:rsidP="004B16DC">
            <w:pPr>
              <w:rPr>
                <w:rFonts w:cs="Arial"/>
                <w:szCs w:val="20"/>
              </w:rPr>
            </w:pPr>
            <w:r>
              <w:rPr>
                <w:rFonts w:cs="Arial"/>
                <w:szCs w:val="20"/>
              </w:rPr>
              <w:t>Greece</w:t>
            </w:r>
          </w:p>
        </w:tc>
        <w:tc>
          <w:tcPr>
            <w:tcW w:w="2970" w:type="dxa"/>
          </w:tcPr>
          <w:p w:rsidR="00885C24" w:rsidRDefault="00461912" w:rsidP="001A702C">
            <w:pPr>
              <w:jc w:val="center"/>
              <w:rPr>
                <w:rFonts w:cs="Arial"/>
                <w:szCs w:val="20"/>
              </w:rPr>
            </w:pPr>
            <w:r>
              <w:rPr>
                <w:rFonts w:cs="Arial"/>
                <w:szCs w:val="20"/>
              </w:rPr>
              <w:t>119</w:t>
            </w:r>
          </w:p>
        </w:tc>
        <w:tc>
          <w:tcPr>
            <w:tcW w:w="2991" w:type="dxa"/>
          </w:tcPr>
          <w:p w:rsidR="00885C24" w:rsidRDefault="00461912" w:rsidP="001A702C">
            <w:pPr>
              <w:jc w:val="center"/>
              <w:rPr>
                <w:rFonts w:cs="Arial"/>
                <w:szCs w:val="20"/>
              </w:rPr>
            </w:pPr>
            <w:r>
              <w:rPr>
                <w:rFonts w:cs="Arial"/>
                <w:szCs w:val="20"/>
              </w:rPr>
              <w:t>36.8%</w:t>
            </w:r>
          </w:p>
        </w:tc>
      </w:tr>
      <w:tr w:rsidR="00D45C6C" w:rsidTr="00885C24">
        <w:tc>
          <w:tcPr>
            <w:tcW w:w="2653" w:type="dxa"/>
          </w:tcPr>
          <w:p w:rsidR="00D45C6C" w:rsidRDefault="00D45C6C" w:rsidP="004B16DC">
            <w:pPr>
              <w:rPr>
                <w:rFonts w:cs="Arial"/>
                <w:szCs w:val="20"/>
              </w:rPr>
            </w:pPr>
            <w:r>
              <w:rPr>
                <w:rFonts w:cs="Arial"/>
                <w:szCs w:val="20"/>
              </w:rPr>
              <w:t>Montenegro</w:t>
            </w:r>
          </w:p>
        </w:tc>
        <w:tc>
          <w:tcPr>
            <w:tcW w:w="2970" w:type="dxa"/>
          </w:tcPr>
          <w:p w:rsidR="00D45C6C" w:rsidRDefault="00D45C6C" w:rsidP="001A702C">
            <w:pPr>
              <w:jc w:val="center"/>
              <w:rPr>
                <w:rFonts w:cs="Arial"/>
                <w:szCs w:val="20"/>
              </w:rPr>
            </w:pPr>
            <w:r>
              <w:rPr>
                <w:rFonts w:cs="Arial"/>
                <w:szCs w:val="20"/>
              </w:rPr>
              <w:t>132</w:t>
            </w:r>
          </w:p>
        </w:tc>
        <w:tc>
          <w:tcPr>
            <w:tcW w:w="2991" w:type="dxa"/>
          </w:tcPr>
          <w:p w:rsidR="00D45C6C" w:rsidRDefault="00D45C6C" w:rsidP="001A702C">
            <w:pPr>
              <w:jc w:val="center"/>
              <w:rPr>
                <w:rFonts w:cs="Arial"/>
                <w:szCs w:val="20"/>
              </w:rPr>
            </w:pPr>
            <w:r>
              <w:rPr>
                <w:rFonts w:cs="Arial"/>
                <w:szCs w:val="20"/>
              </w:rPr>
              <w:t>100%</w:t>
            </w:r>
          </w:p>
        </w:tc>
      </w:tr>
      <w:tr w:rsidR="00D45C6C" w:rsidTr="00885C24">
        <w:tc>
          <w:tcPr>
            <w:tcW w:w="2653" w:type="dxa"/>
          </w:tcPr>
          <w:p w:rsidR="00D45C6C" w:rsidRDefault="00D45C6C" w:rsidP="004B16DC">
            <w:pPr>
              <w:rPr>
                <w:rFonts w:cs="Arial"/>
                <w:szCs w:val="20"/>
              </w:rPr>
            </w:pPr>
            <w:r>
              <w:rPr>
                <w:rFonts w:cs="Arial"/>
                <w:szCs w:val="20"/>
              </w:rPr>
              <w:t>Portugal</w:t>
            </w:r>
          </w:p>
        </w:tc>
        <w:tc>
          <w:tcPr>
            <w:tcW w:w="2970" w:type="dxa"/>
          </w:tcPr>
          <w:p w:rsidR="00D45C6C" w:rsidRDefault="00D45C6C" w:rsidP="001A702C">
            <w:pPr>
              <w:jc w:val="center"/>
              <w:rPr>
                <w:rFonts w:cs="Arial"/>
                <w:szCs w:val="20"/>
              </w:rPr>
            </w:pPr>
            <w:r>
              <w:rPr>
                <w:rFonts w:cs="Arial"/>
                <w:szCs w:val="20"/>
              </w:rPr>
              <w:t>0</w:t>
            </w:r>
          </w:p>
        </w:tc>
        <w:tc>
          <w:tcPr>
            <w:tcW w:w="2991" w:type="dxa"/>
          </w:tcPr>
          <w:p w:rsidR="00D45C6C" w:rsidRDefault="00D45C6C" w:rsidP="001A702C">
            <w:pPr>
              <w:jc w:val="center"/>
              <w:rPr>
                <w:rFonts w:cs="Arial"/>
                <w:szCs w:val="20"/>
              </w:rPr>
            </w:pPr>
            <w:r>
              <w:rPr>
                <w:rFonts w:cs="Arial"/>
                <w:szCs w:val="20"/>
              </w:rPr>
              <w:t>0</w:t>
            </w:r>
          </w:p>
        </w:tc>
      </w:tr>
      <w:tr w:rsidR="00D45C6C" w:rsidTr="00885C24">
        <w:tc>
          <w:tcPr>
            <w:tcW w:w="2653" w:type="dxa"/>
          </w:tcPr>
          <w:p w:rsidR="00D45C6C" w:rsidRDefault="00D45C6C" w:rsidP="004B16DC">
            <w:pPr>
              <w:rPr>
                <w:rFonts w:cs="Arial"/>
                <w:szCs w:val="20"/>
              </w:rPr>
            </w:pPr>
            <w:r>
              <w:rPr>
                <w:rFonts w:cs="Arial"/>
                <w:szCs w:val="20"/>
              </w:rPr>
              <w:t>Slovakia</w:t>
            </w:r>
          </w:p>
        </w:tc>
        <w:tc>
          <w:tcPr>
            <w:tcW w:w="2970" w:type="dxa"/>
          </w:tcPr>
          <w:p w:rsidR="00D45C6C" w:rsidRDefault="00D45C6C" w:rsidP="001A702C">
            <w:pPr>
              <w:jc w:val="center"/>
              <w:rPr>
                <w:rFonts w:cs="Arial"/>
                <w:szCs w:val="20"/>
              </w:rPr>
            </w:pPr>
            <w:r>
              <w:rPr>
                <w:rFonts w:cs="Arial"/>
                <w:szCs w:val="20"/>
              </w:rPr>
              <w:t>51</w:t>
            </w:r>
          </w:p>
        </w:tc>
        <w:tc>
          <w:tcPr>
            <w:tcW w:w="2991" w:type="dxa"/>
          </w:tcPr>
          <w:p w:rsidR="00D45C6C" w:rsidRDefault="00D45C6C" w:rsidP="001A702C">
            <w:pPr>
              <w:jc w:val="center"/>
              <w:rPr>
                <w:rFonts w:cs="Arial"/>
                <w:szCs w:val="20"/>
              </w:rPr>
            </w:pPr>
            <w:r>
              <w:rPr>
                <w:rFonts w:cs="Arial"/>
                <w:szCs w:val="20"/>
              </w:rPr>
              <w:t>72.7%</w:t>
            </w:r>
          </w:p>
        </w:tc>
      </w:tr>
      <w:tr w:rsidR="00461912" w:rsidTr="00F53A05">
        <w:tc>
          <w:tcPr>
            <w:tcW w:w="2653" w:type="dxa"/>
          </w:tcPr>
          <w:p w:rsidR="00461912" w:rsidRDefault="00461912" w:rsidP="00F53A05">
            <w:pPr>
              <w:rPr>
                <w:rFonts w:cs="Arial"/>
                <w:szCs w:val="20"/>
              </w:rPr>
            </w:pPr>
            <w:r>
              <w:rPr>
                <w:rFonts w:cs="Arial"/>
                <w:szCs w:val="20"/>
              </w:rPr>
              <w:t>Slovenia</w:t>
            </w:r>
          </w:p>
        </w:tc>
        <w:tc>
          <w:tcPr>
            <w:tcW w:w="2970" w:type="dxa"/>
          </w:tcPr>
          <w:p w:rsidR="00461912" w:rsidRDefault="00461912" w:rsidP="00F53A05">
            <w:pPr>
              <w:jc w:val="center"/>
              <w:rPr>
                <w:rFonts w:cs="Arial"/>
                <w:szCs w:val="20"/>
              </w:rPr>
            </w:pPr>
            <w:r>
              <w:rPr>
                <w:rFonts w:cs="Arial"/>
                <w:szCs w:val="20"/>
              </w:rPr>
              <w:t>8</w:t>
            </w:r>
          </w:p>
        </w:tc>
        <w:tc>
          <w:tcPr>
            <w:tcW w:w="2991" w:type="dxa"/>
          </w:tcPr>
          <w:p w:rsidR="00461912" w:rsidRDefault="00461912" w:rsidP="00F53A05">
            <w:pPr>
              <w:jc w:val="center"/>
              <w:rPr>
                <w:rFonts w:cs="Arial"/>
                <w:szCs w:val="20"/>
              </w:rPr>
            </w:pPr>
            <w:r>
              <w:rPr>
                <w:rFonts w:cs="Arial"/>
                <w:szCs w:val="20"/>
              </w:rPr>
              <w:t>80%</w:t>
            </w:r>
          </w:p>
        </w:tc>
      </w:tr>
      <w:tr w:rsidR="00461912" w:rsidTr="00885C24">
        <w:tc>
          <w:tcPr>
            <w:tcW w:w="2653" w:type="dxa"/>
          </w:tcPr>
          <w:p w:rsidR="00461912" w:rsidRDefault="00461912" w:rsidP="004B16DC">
            <w:pPr>
              <w:rPr>
                <w:rFonts w:cs="Arial"/>
                <w:szCs w:val="20"/>
              </w:rPr>
            </w:pPr>
            <w:r>
              <w:rPr>
                <w:rFonts w:cs="Arial"/>
                <w:szCs w:val="20"/>
              </w:rPr>
              <w:t>Switzerland</w:t>
            </w:r>
          </w:p>
        </w:tc>
        <w:tc>
          <w:tcPr>
            <w:tcW w:w="2970" w:type="dxa"/>
          </w:tcPr>
          <w:p w:rsidR="00461912" w:rsidRDefault="00461912" w:rsidP="001A702C">
            <w:pPr>
              <w:jc w:val="center"/>
              <w:rPr>
                <w:rFonts w:cs="Arial"/>
                <w:szCs w:val="20"/>
              </w:rPr>
            </w:pPr>
            <w:r>
              <w:rPr>
                <w:rFonts w:cs="Arial"/>
                <w:szCs w:val="20"/>
              </w:rPr>
              <w:t>0</w:t>
            </w:r>
          </w:p>
        </w:tc>
        <w:tc>
          <w:tcPr>
            <w:tcW w:w="2991" w:type="dxa"/>
          </w:tcPr>
          <w:p w:rsidR="00461912" w:rsidRDefault="00461912" w:rsidP="001A702C">
            <w:pPr>
              <w:jc w:val="center"/>
              <w:rPr>
                <w:rFonts w:cs="Arial"/>
                <w:szCs w:val="20"/>
              </w:rPr>
            </w:pPr>
            <w:r>
              <w:rPr>
                <w:rFonts w:cs="Arial"/>
                <w:szCs w:val="20"/>
              </w:rPr>
              <w:t>0</w:t>
            </w:r>
          </w:p>
        </w:tc>
      </w:tr>
      <w:tr w:rsidR="00E768B0" w:rsidTr="00885C24">
        <w:tc>
          <w:tcPr>
            <w:tcW w:w="2653" w:type="dxa"/>
          </w:tcPr>
          <w:p w:rsidR="00E768B0" w:rsidRPr="00E768B0" w:rsidRDefault="00E768B0" w:rsidP="004B16DC">
            <w:pPr>
              <w:rPr>
                <w:rFonts w:cs="Arial"/>
                <w:b/>
                <w:szCs w:val="20"/>
              </w:rPr>
            </w:pPr>
            <w:r w:rsidRPr="00E768B0">
              <w:rPr>
                <w:rFonts w:cs="Arial"/>
                <w:b/>
                <w:szCs w:val="20"/>
              </w:rPr>
              <w:t>TOTAL</w:t>
            </w:r>
          </w:p>
        </w:tc>
        <w:tc>
          <w:tcPr>
            <w:tcW w:w="2970" w:type="dxa"/>
          </w:tcPr>
          <w:p w:rsidR="00E768B0" w:rsidRPr="00E768B0" w:rsidRDefault="00E768B0" w:rsidP="001A702C">
            <w:pPr>
              <w:jc w:val="center"/>
              <w:rPr>
                <w:rFonts w:cs="Arial"/>
                <w:b/>
                <w:szCs w:val="20"/>
              </w:rPr>
            </w:pPr>
            <w:r w:rsidRPr="00E768B0">
              <w:rPr>
                <w:rFonts w:cs="Arial"/>
                <w:b/>
                <w:szCs w:val="20"/>
              </w:rPr>
              <w:fldChar w:fldCharType="begin"/>
            </w:r>
            <w:r w:rsidRPr="00E768B0">
              <w:rPr>
                <w:rFonts w:cs="Arial"/>
                <w:b/>
                <w:szCs w:val="20"/>
              </w:rPr>
              <w:instrText xml:space="preserve"> =SUM(ABOVE) </w:instrText>
            </w:r>
            <w:r w:rsidRPr="00E768B0">
              <w:rPr>
                <w:rFonts w:cs="Arial"/>
                <w:b/>
                <w:szCs w:val="20"/>
              </w:rPr>
              <w:fldChar w:fldCharType="separate"/>
            </w:r>
            <w:r w:rsidRPr="00E768B0">
              <w:rPr>
                <w:rFonts w:cs="Arial"/>
                <w:b/>
                <w:noProof/>
                <w:szCs w:val="20"/>
              </w:rPr>
              <w:t>335</w:t>
            </w:r>
            <w:r w:rsidRPr="00E768B0">
              <w:rPr>
                <w:rFonts w:cs="Arial"/>
                <w:b/>
                <w:szCs w:val="20"/>
              </w:rPr>
              <w:fldChar w:fldCharType="end"/>
            </w:r>
          </w:p>
        </w:tc>
        <w:tc>
          <w:tcPr>
            <w:tcW w:w="2991" w:type="dxa"/>
          </w:tcPr>
          <w:p w:rsidR="00E768B0" w:rsidRDefault="00E768B0" w:rsidP="001A702C">
            <w:pPr>
              <w:jc w:val="center"/>
              <w:rPr>
                <w:rFonts w:cs="Arial"/>
                <w:szCs w:val="20"/>
              </w:rPr>
            </w:pPr>
            <w:r>
              <w:rPr>
                <w:rFonts w:cs="Arial"/>
                <w:szCs w:val="20"/>
              </w:rPr>
              <w:t>--</w:t>
            </w:r>
          </w:p>
        </w:tc>
      </w:tr>
    </w:tbl>
    <w:p w:rsidR="00D45C6C" w:rsidRDefault="00D45C6C" w:rsidP="004B16DC">
      <w:pPr>
        <w:rPr>
          <w:rFonts w:cs="Arial"/>
          <w:szCs w:val="20"/>
        </w:rPr>
      </w:pPr>
      <w:r>
        <w:rPr>
          <w:rFonts w:cs="Arial"/>
          <w:szCs w:val="20"/>
        </w:rPr>
        <w:t xml:space="preserve">Additional information under question 5, in relation to </w:t>
      </w:r>
      <w:r w:rsidR="00885C24">
        <w:rPr>
          <w:rFonts w:cs="Arial"/>
          <w:szCs w:val="20"/>
        </w:rPr>
        <w:t>adaptive modulation</w:t>
      </w:r>
      <w:r>
        <w:rPr>
          <w:rFonts w:cs="Arial"/>
          <w:szCs w:val="20"/>
        </w:rPr>
        <w:t>:</w:t>
      </w:r>
    </w:p>
    <w:tbl>
      <w:tblPr>
        <w:tblStyle w:val="Question-group-table"/>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1356"/>
        <w:gridCol w:w="13157"/>
      </w:tblGrid>
      <w:tr w:rsidR="00D45C6C" w:rsidTr="00F53A05">
        <w:trPr>
          <w:tblCellSpacing w:w="15" w:type="dxa"/>
        </w:trPr>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D45C6C" w:rsidRDefault="00D45C6C" w:rsidP="00F53A05">
            <w:r>
              <w:rPr>
                <w:rFonts w:ascii="Verdana" w:eastAsia="Verdana" w:hAnsi="Verdana" w:cs="Verdana"/>
                <w:sz w:val="18"/>
                <w:szCs w:val="18"/>
                <w:bdr w:val="nil"/>
              </w:rPr>
              <w:t>Slovenia</w:t>
            </w:r>
          </w:p>
        </w:tc>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D45C6C" w:rsidRDefault="00D45C6C" w:rsidP="00885C24">
            <w:r>
              <w:rPr>
                <w:rFonts w:ascii="Verdana" w:eastAsia="Verdana" w:hAnsi="Verdana" w:cs="Verdana"/>
                <w:sz w:val="18"/>
                <w:szCs w:val="18"/>
                <w:bdr w:val="nil"/>
              </w:rPr>
              <w:t>Allowed technics (adaptive modulation, automatic transmit power control, etc.) should be used as specified in ETSI EN 302 217.</w:t>
            </w:r>
          </w:p>
        </w:tc>
      </w:tr>
      <w:tr w:rsidR="00885C24" w:rsidTr="00F53A05">
        <w:trPr>
          <w:tblCellSpacing w:w="15" w:type="dxa"/>
        </w:trPr>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85C24" w:rsidRDefault="00885C24" w:rsidP="00F53A05">
            <w:r>
              <w:rPr>
                <w:rFonts w:ascii="Verdana" w:eastAsia="Verdana" w:hAnsi="Verdana" w:cs="Verdana"/>
                <w:sz w:val="18"/>
                <w:szCs w:val="18"/>
                <w:bdr w:val="nil"/>
              </w:rPr>
              <w:t>Greece</w:t>
            </w:r>
          </w:p>
        </w:tc>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85C24" w:rsidRDefault="00885C24" w:rsidP="00F53A05">
            <w:r>
              <w:rPr>
                <w:rFonts w:ascii="Verdana" w:eastAsia="Verdana" w:hAnsi="Verdana" w:cs="Verdana"/>
                <w:sz w:val="18"/>
                <w:szCs w:val="18"/>
                <w:bdr w:val="nil"/>
              </w:rPr>
              <w:t>Adaptive Modulation is allowed and it is currently licensed with reference Modulation of 128-QAM unless the network operator indicates a smaller number. Before this regulation, it was licensed with reference Modulation the max capable of the equipment again unless the network operator indicated a smaller number. Thus, inside the numbers provided in the respective table, Adaptive Modulation equipment is also included. More specifically 11/11 links with 16-QAM, 92/294 links with 128-QAM and 16/16 links with 256-QAM are using Adaptive Modulation (in total 119 links – 36</w:t>
            </w:r>
            <w:proofErr w:type="gramStart"/>
            <w:r>
              <w:rPr>
                <w:rFonts w:ascii="Verdana" w:eastAsia="Verdana" w:hAnsi="Verdana" w:cs="Verdana"/>
                <w:sz w:val="18"/>
                <w:szCs w:val="18"/>
                <w:bdr w:val="nil"/>
              </w:rPr>
              <w:t>,8</w:t>
            </w:r>
            <w:proofErr w:type="gramEnd"/>
            <w:r>
              <w:rPr>
                <w:rFonts w:ascii="Verdana" w:eastAsia="Verdana" w:hAnsi="Verdana" w:cs="Verdana"/>
                <w:sz w:val="18"/>
                <w:szCs w:val="18"/>
                <w:bdr w:val="nil"/>
              </w:rPr>
              <w:t>%)</w:t>
            </w:r>
          </w:p>
        </w:tc>
      </w:tr>
      <w:tr w:rsidR="00885C24" w:rsidTr="00F53A05">
        <w:trPr>
          <w:tblCellSpacing w:w="15" w:type="dxa"/>
        </w:trPr>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85C24" w:rsidRDefault="00885C24" w:rsidP="00F53A05">
            <w:r>
              <w:rPr>
                <w:rFonts w:ascii="Verdana" w:eastAsia="Verdana" w:hAnsi="Verdana" w:cs="Verdana"/>
                <w:sz w:val="18"/>
                <w:szCs w:val="18"/>
                <w:bdr w:val="nil"/>
              </w:rPr>
              <w:t>Czech Republic</w:t>
            </w:r>
          </w:p>
        </w:tc>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885C24" w:rsidRDefault="00885C24" w:rsidP="00F53A05">
            <w:r>
              <w:rPr>
                <w:rFonts w:ascii="Verdana" w:eastAsia="Verdana" w:hAnsi="Verdana" w:cs="Verdana"/>
                <w:sz w:val="18"/>
                <w:szCs w:val="18"/>
                <w:bdr w:val="nil"/>
              </w:rPr>
              <w:t xml:space="preserve">Planning parameters of the links i.e. modulation rate, antenna gain, fade margin are exclusively within providers authority with respect to the frequency arrangement described in the part of Radio spectrum utilisation plan No. PV-P/19/12.2017-11, URL: </w:t>
            </w:r>
            <w:proofErr w:type="gramStart"/>
            <w:r>
              <w:rPr>
                <w:rFonts w:ascii="Verdana" w:eastAsia="Verdana" w:hAnsi="Verdana" w:cs="Verdana"/>
                <w:sz w:val="18"/>
                <w:szCs w:val="18"/>
                <w:bdr w:val="nil"/>
              </w:rPr>
              <w:t xml:space="preserve">https://www.ctu.eu/plan-use-radio-spectrum </w:t>
            </w:r>
            <w:r>
              <w:rPr>
                <w:rFonts w:ascii="Verdana" w:eastAsia="Verdana" w:hAnsi="Verdana" w:cs="Verdana"/>
                <w:sz w:val="18"/>
                <w:szCs w:val="18"/>
                <w:bdr w:val="nil"/>
              </w:rPr>
              <w:br/>
              <w:t>The Office registers antenna height and transmit</w:t>
            </w:r>
            <w:proofErr w:type="gramEnd"/>
            <w:r>
              <w:rPr>
                <w:rFonts w:ascii="Verdana" w:eastAsia="Verdana" w:hAnsi="Verdana" w:cs="Verdana"/>
                <w:sz w:val="18"/>
                <w:szCs w:val="18"/>
                <w:bdr w:val="nil"/>
              </w:rPr>
              <w:t xml:space="preserve"> power at antenna port only.</w:t>
            </w:r>
          </w:p>
        </w:tc>
      </w:tr>
    </w:tbl>
    <w:p w:rsidR="00CD038D" w:rsidRDefault="00CD038D" w:rsidP="00CD038D">
      <w:pPr>
        <w:spacing w:line="276" w:lineRule="auto"/>
        <w:jc w:val="left"/>
        <w:rPr>
          <w:rFonts w:cs="Arial"/>
          <w:szCs w:val="20"/>
        </w:rPr>
      </w:pPr>
      <w:r>
        <w:rPr>
          <w:rFonts w:cs="Arial"/>
          <w:szCs w:val="20"/>
        </w:rPr>
        <w:lastRenderedPageBreak/>
        <w:t xml:space="preserve">The information on the FS link antenna gain was provided by CEPT administration in relation to a set of 10499 FS links (out of a total of </w:t>
      </w:r>
      <w:r w:rsidR="001D5DF4">
        <w:rPr>
          <w:rFonts w:cs="Arial"/>
          <w:szCs w:val="20"/>
        </w:rPr>
        <w:t>11738</w:t>
      </w:r>
      <w:r>
        <w:rPr>
          <w:rFonts w:cs="Arial"/>
          <w:szCs w:val="20"/>
        </w:rPr>
        <w:t xml:space="preserve">). </w:t>
      </w:r>
      <w:r w:rsidR="001D5DF4">
        <w:rPr>
          <w:rFonts w:cs="Arial"/>
          <w:szCs w:val="20"/>
        </w:rPr>
        <w:t>Nearly 85</w:t>
      </w:r>
      <w:r w:rsidR="009269BB">
        <w:rPr>
          <w:rFonts w:cs="Arial"/>
          <w:szCs w:val="20"/>
        </w:rPr>
        <w:t>%</w:t>
      </w:r>
      <w:r>
        <w:rPr>
          <w:rFonts w:cs="Arial"/>
          <w:szCs w:val="20"/>
        </w:rPr>
        <w:t xml:space="preserve"> of the values for FS links antenna gain </w:t>
      </w:r>
      <w:proofErr w:type="gramStart"/>
      <w:r>
        <w:rPr>
          <w:rFonts w:cs="Arial"/>
          <w:szCs w:val="20"/>
        </w:rPr>
        <w:t>is</w:t>
      </w:r>
      <w:proofErr w:type="gramEnd"/>
      <w:r>
        <w:rPr>
          <w:rFonts w:cs="Arial"/>
          <w:szCs w:val="20"/>
        </w:rPr>
        <w:t xml:space="preserve"> within 33 and 45 </w:t>
      </w:r>
      <w:proofErr w:type="spellStart"/>
      <w:r>
        <w:rPr>
          <w:rFonts w:cs="Arial"/>
          <w:szCs w:val="20"/>
        </w:rPr>
        <w:t>dBi</w:t>
      </w:r>
      <w:proofErr w:type="spellEnd"/>
      <w:r>
        <w:rPr>
          <w:rFonts w:cs="Arial"/>
          <w:szCs w:val="20"/>
        </w:rPr>
        <w:t>. Further details are shown in the following figures with reference to</w:t>
      </w:r>
      <w:r w:rsidR="001B2C40">
        <w:rPr>
          <w:rFonts w:cs="Arial"/>
          <w:szCs w:val="20"/>
        </w:rPr>
        <w:t xml:space="preserve"> both</w:t>
      </w:r>
      <w:r>
        <w:rPr>
          <w:rFonts w:cs="Arial"/>
          <w:szCs w:val="20"/>
        </w:rPr>
        <w:t xml:space="preserve"> the number and percentage of FS links. </w:t>
      </w:r>
    </w:p>
    <w:p w:rsidR="003876E4" w:rsidRDefault="003876E4">
      <w:pPr>
        <w:rPr>
          <w:rFonts w:cs="Arial"/>
          <w:b/>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7"/>
        <w:gridCol w:w="7297"/>
      </w:tblGrid>
      <w:tr w:rsidR="003876E4" w:rsidTr="00536AE8">
        <w:tc>
          <w:tcPr>
            <w:tcW w:w="7252" w:type="dxa"/>
          </w:tcPr>
          <w:p w:rsidR="003876E4" w:rsidRDefault="001D5DF4" w:rsidP="00536AE8">
            <w:pPr>
              <w:rPr>
                <w:rFonts w:cs="Arial"/>
                <w:szCs w:val="20"/>
              </w:rPr>
            </w:pPr>
            <w:r>
              <w:rPr>
                <w:rFonts w:cs="Arial"/>
                <w:noProof/>
                <w:szCs w:val="20"/>
                <w:lang w:val="en-US"/>
              </w:rPr>
              <w:drawing>
                <wp:inline distT="0" distB="0" distL="0" distR="0" wp14:anchorId="5AA20DFD" wp14:editId="15FF7AE1">
                  <wp:extent cx="4457749" cy="30607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7378" cy="3060445"/>
                          </a:xfrm>
                          <a:prstGeom prst="rect">
                            <a:avLst/>
                          </a:prstGeom>
                          <a:noFill/>
                        </pic:spPr>
                      </pic:pic>
                    </a:graphicData>
                  </a:graphic>
                </wp:inline>
              </w:drawing>
            </w:r>
          </w:p>
        </w:tc>
        <w:tc>
          <w:tcPr>
            <w:tcW w:w="7252" w:type="dxa"/>
          </w:tcPr>
          <w:p w:rsidR="003876E4" w:rsidRDefault="001D5DF4" w:rsidP="00536AE8">
            <w:pPr>
              <w:rPr>
                <w:rFonts w:cs="Arial"/>
                <w:szCs w:val="20"/>
              </w:rPr>
            </w:pPr>
            <w:r>
              <w:rPr>
                <w:rFonts w:cs="Arial"/>
                <w:noProof/>
                <w:szCs w:val="20"/>
                <w:lang w:val="en-US"/>
              </w:rPr>
              <w:drawing>
                <wp:inline distT="0" distB="0" distL="0" distR="0" wp14:anchorId="49C49B50" wp14:editId="16871FFC">
                  <wp:extent cx="4514850" cy="3026159"/>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19941" cy="3029572"/>
                          </a:xfrm>
                          <a:prstGeom prst="rect">
                            <a:avLst/>
                          </a:prstGeom>
                          <a:noFill/>
                        </pic:spPr>
                      </pic:pic>
                    </a:graphicData>
                  </a:graphic>
                </wp:inline>
              </w:drawing>
            </w:r>
          </w:p>
        </w:tc>
      </w:tr>
    </w:tbl>
    <w:p w:rsidR="003876E4" w:rsidRDefault="003876E4">
      <w:pPr>
        <w:rPr>
          <w:rFonts w:cs="Arial"/>
          <w:b/>
          <w:szCs w:val="20"/>
        </w:rPr>
      </w:pPr>
    </w:p>
    <w:p w:rsidR="00AA2202" w:rsidRDefault="00AA2202">
      <w:pPr>
        <w:rPr>
          <w:rFonts w:cs="Arial"/>
          <w:b/>
          <w:szCs w:val="20"/>
        </w:rPr>
      </w:pPr>
      <w:r>
        <w:rPr>
          <w:rFonts w:cs="Arial"/>
          <w:b/>
          <w:szCs w:val="20"/>
        </w:rPr>
        <w:br w:type="page"/>
      </w:r>
    </w:p>
    <w:p w:rsidR="00AA2202" w:rsidRDefault="00AA2202" w:rsidP="00AA2202">
      <w:pPr>
        <w:spacing w:line="276" w:lineRule="auto"/>
        <w:jc w:val="left"/>
        <w:rPr>
          <w:rFonts w:cs="Arial"/>
          <w:szCs w:val="20"/>
        </w:rPr>
      </w:pPr>
      <w:r>
        <w:rPr>
          <w:rFonts w:cs="Arial"/>
          <w:szCs w:val="20"/>
        </w:rPr>
        <w:lastRenderedPageBreak/>
        <w:t xml:space="preserve">The information on the FS link antenna height was provided by CEPT administration in relation to a set of 9136 FS links (out of a total of </w:t>
      </w:r>
      <w:r w:rsidR="001D5DF4">
        <w:rPr>
          <w:rFonts w:cs="Arial"/>
          <w:szCs w:val="20"/>
        </w:rPr>
        <w:t>11738</w:t>
      </w:r>
      <w:r>
        <w:rPr>
          <w:rFonts w:cs="Arial"/>
          <w:szCs w:val="20"/>
        </w:rPr>
        <w:t>). Details are shown in the following figures with reference to</w:t>
      </w:r>
      <w:r w:rsidR="001B2C40">
        <w:rPr>
          <w:rFonts w:cs="Arial"/>
          <w:szCs w:val="20"/>
        </w:rPr>
        <w:t xml:space="preserve"> both</w:t>
      </w:r>
      <w:r>
        <w:rPr>
          <w:rFonts w:cs="Arial"/>
          <w:szCs w:val="20"/>
        </w:rPr>
        <w:t xml:space="preserve"> the number and percentage of FS links. </w:t>
      </w:r>
    </w:p>
    <w:p w:rsidR="009269BB" w:rsidRDefault="009269BB" w:rsidP="00AA2202">
      <w:pPr>
        <w:spacing w:line="276" w:lineRule="auto"/>
        <w:jc w:val="left"/>
        <w:rPr>
          <w:rFonts w:cs="Arial"/>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2"/>
        <w:gridCol w:w="7212"/>
      </w:tblGrid>
      <w:tr w:rsidR="00AA2202" w:rsidTr="009269BB">
        <w:tc>
          <w:tcPr>
            <w:tcW w:w="7536" w:type="dxa"/>
          </w:tcPr>
          <w:p w:rsidR="00AA2202" w:rsidRDefault="001D5DF4" w:rsidP="00F53A05">
            <w:pPr>
              <w:rPr>
                <w:rFonts w:cs="Arial"/>
                <w:szCs w:val="20"/>
              </w:rPr>
            </w:pPr>
            <w:r>
              <w:rPr>
                <w:rFonts w:cs="Arial"/>
                <w:noProof/>
                <w:szCs w:val="20"/>
                <w:lang w:val="en-US"/>
              </w:rPr>
              <w:drawing>
                <wp:inline distT="0" distB="0" distL="0" distR="0" wp14:anchorId="405EC06D" wp14:editId="0E08E9E5">
                  <wp:extent cx="4525107" cy="242570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30794" cy="2428748"/>
                          </a:xfrm>
                          <a:prstGeom prst="rect">
                            <a:avLst/>
                          </a:prstGeom>
                          <a:noFill/>
                        </pic:spPr>
                      </pic:pic>
                    </a:graphicData>
                  </a:graphic>
                </wp:inline>
              </w:drawing>
            </w:r>
          </w:p>
        </w:tc>
        <w:tc>
          <w:tcPr>
            <w:tcW w:w="6968" w:type="dxa"/>
          </w:tcPr>
          <w:p w:rsidR="00AA2202" w:rsidRDefault="008E1EC0" w:rsidP="00F53A05">
            <w:pPr>
              <w:rPr>
                <w:rFonts w:cs="Arial"/>
                <w:szCs w:val="20"/>
              </w:rPr>
            </w:pPr>
            <w:r>
              <w:rPr>
                <w:rFonts w:cs="Arial"/>
                <w:noProof/>
                <w:szCs w:val="20"/>
                <w:lang w:val="en-US"/>
              </w:rPr>
              <w:drawing>
                <wp:inline distT="0" distB="0" distL="0" distR="0" wp14:anchorId="697797D4">
                  <wp:extent cx="4483100" cy="24260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84740" cy="2426967"/>
                          </a:xfrm>
                          <a:prstGeom prst="rect">
                            <a:avLst/>
                          </a:prstGeom>
                          <a:noFill/>
                        </pic:spPr>
                      </pic:pic>
                    </a:graphicData>
                  </a:graphic>
                </wp:inline>
              </w:drawing>
            </w:r>
          </w:p>
        </w:tc>
      </w:tr>
    </w:tbl>
    <w:p w:rsidR="00AA2202" w:rsidRDefault="00AA2202" w:rsidP="00AA2202">
      <w:pPr>
        <w:rPr>
          <w:rFonts w:cs="Arial"/>
          <w:b/>
          <w:szCs w:val="20"/>
        </w:rPr>
      </w:pPr>
    </w:p>
    <w:p w:rsidR="00AA2202" w:rsidRDefault="00AA2202">
      <w:pPr>
        <w:rPr>
          <w:rFonts w:cs="Arial"/>
          <w:szCs w:val="20"/>
        </w:rPr>
      </w:pPr>
      <w:r>
        <w:rPr>
          <w:rFonts w:cs="Arial"/>
          <w:szCs w:val="20"/>
        </w:rPr>
        <w:br w:type="page"/>
      </w:r>
    </w:p>
    <w:p w:rsidR="00AA2202" w:rsidRDefault="00AA2202" w:rsidP="00AA2202">
      <w:pPr>
        <w:spacing w:line="276" w:lineRule="auto"/>
        <w:jc w:val="left"/>
        <w:rPr>
          <w:rFonts w:cs="Arial"/>
          <w:szCs w:val="20"/>
        </w:rPr>
      </w:pPr>
      <w:r>
        <w:rPr>
          <w:rFonts w:cs="Arial"/>
          <w:szCs w:val="20"/>
        </w:rPr>
        <w:lastRenderedPageBreak/>
        <w:t xml:space="preserve">The information on the FS link transmit power was provided by CEPT administration in relation to a set of </w:t>
      </w:r>
      <w:r w:rsidR="00C87F52">
        <w:rPr>
          <w:rFonts w:cs="Arial"/>
          <w:szCs w:val="20"/>
        </w:rPr>
        <w:t xml:space="preserve">10530 </w:t>
      </w:r>
      <w:r>
        <w:rPr>
          <w:rFonts w:cs="Arial"/>
          <w:szCs w:val="20"/>
        </w:rPr>
        <w:t xml:space="preserve">FS links (out of a total of </w:t>
      </w:r>
      <w:r w:rsidR="001D5DF4">
        <w:rPr>
          <w:rFonts w:cs="Arial"/>
          <w:szCs w:val="20"/>
        </w:rPr>
        <w:t>11738</w:t>
      </w:r>
      <w:r>
        <w:rPr>
          <w:rFonts w:cs="Arial"/>
          <w:szCs w:val="20"/>
        </w:rPr>
        <w:t xml:space="preserve">). </w:t>
      </w:r>
      <w:r w:rsidR="00DE624B">
        <w:rPr>
          <w:rFonts w:cs="Arial"/>
          <w:szCs w:val="20"/>
        </w:rPr>
        <w:t>Almost</w:t>
      </w:r>
      <w:r w:rsidR="00534429">
        <w:rPr>
          <w:rFonts w:cs="Arial"/>
          <w:szCs w:val="20"/>
        </w:rPr>
        <w:t xml:space="preserve"> half</w:t>
      </w:r>
      <w:r w:rsidR="006305FD">
        <w:rPr>
          <w:rFonts w:cs="Arial"/>
          <w:szCs w:val="20"/>
        </w:rPr>
        <w:t xml:space="preserve"> of the FS links have </w:t>
      </w:r>
      <w:proofErr w:type="gramStart"/>
      <w:r w:rsidR="006305FD">
        <w:rPr>
          <w:rFonts w:cs="Arial"/>
          <w:szCs w:val="20"/>
        </w:rPr>
        <w:t>transmit</w:t>
      </w:r>
      <w:proofErr w:type="gramEnd"/>
      <w:r w:rsidR="006305FD">
        <w:rPr>
          <w:rFonts w:cs="Arial"/>
          <w:szCs w:val="20"/>
        </w:rPr>
        <w:t xml:space="preserve"> power values between 29 and 32 </w:t>
      </w:r>
      <w:proofErr w:type="spellStart"/>
      <w:r w:rsidR="006305FD">
        <w:rPr>
          <w:rFonts w:cs="Arial"/>
          <w:szCs w:val="20"/>
        </w:rPr>
        <w:t>dBm</w:t>
      </w:r>
      <w:proofErr w:type="spellEnd"/>
      <w:r w:rsidR="006305FD">
        <w:rPr>
          <w:rFonts w:cs="Arial"/>
          <w:szCs w:val="20"/>
        </w:rPr>
        <w:t>. Further d</w:t>
      </w:r>
      <w:r>
        <w:rPr>
          <w:rFonts w:cs="Arial"/>
          <w:szCs w:val="20"/>
        </w:rPr>
        <w:t>etails are shown in the following figures with reference</w:t>
      </w:r>
      <w:r w:rsidR="001B2C40">
        <w:rPr>
          <w:rFonts w:cs="Arial"/>
          <w:szCs w:val="20"/>
        </w:rPr>
        <w:t xml:space="preserve"> both</w:t>
      </w:r>
      <w:r>
        <w:rPr>
          <w:rFonts w:cs="Arial"/>
          <w:szCs w:val="20"/>
        </w:rPr>
        <w:t xml:space="preserve"> to the number and percentage of FS links.</w:t>
      </w:r>
    </w:p>
    <w:p w:rsidR="00DE624B" w:rsidRDefault="00DE624B" w:rsidP="00AA2202">
      <w:pPr>
        <w:spacing w:line="276" w:lineRule="auto"/>
        <w:jc w:val="left"/>
        <w:rPr>
          <w:rFonts w:cs="Arial"/>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4"/>
        <w:gridCol w:w="7400"/>
      </w:tblGrid>
      <w:tr w:rsidR="00AA2202" w:rsidTr="00CA12C8">
        <w:tc>
          <w:tcPr>
            <w:tcW w:w="7180" w:type="dxa"/>
          </w:tcPr>
          <w:p w:rsidR="003916CD" w:rsidRDefault="008E1EC0" w:rsidP="00AA2202">
            <w:pPr>
              <w:spacing w:line="276" w:lineRule="auto"/>
              <w:jc w:val="left"/>
              <w:rPr>
                <w:rFonts w:cs="Arial"/>
                <w:szCs w:val="20"/>
              </w:rPr>
            </w:pPr>
            <w:r>
              <w:rPr>
                <w:rFonts w:cs="Arial"/>
                <w:noProof/>
                <w:szCs w:val="20"/>
                <w:lang w:val="en-US"/>
              </w:rPr>
              <w:drawing>
                <wp:inline distT="0" distB="0" distL="0" distR="0" wp14:anchorId="59CED972" wp14:editId="6F78CF44">
                  <wp:extent cx="4413250" cy="2519350"/>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20495" cy="2523486"/>
                          </a:xfrm>
                          <a:prstGeom prst="rect">
                            <a:avLst/>
                          </a:prstGeom>
                          <a:noFill/>
                        </pic:spPr>
                      </pic:pic>
                    </a:graphicData>
                  </a:graphic>
                </wp:inline>
              </w:drawing>
            </w:r>
          </w:p>
          <w:p w:rsidR="00AA2202" w:rsidRDefault="00AA2202" w:rsidP="003916CD">
            <w:pPr>
              <w:spacing w:line="276" w:lineRule="auto"/>
              <w:jc w:val="left"/>
              <w:rPr>
                <w:rFonts w:cs="Arial"/>
                <w:szCs w:val="20"/>
              </w:rPr>
            </w:pPr>
          </w:p>
        </w:tc>
        <w:tc>
          <w:tcPr>
            <w:tcW w:w="7324" w:type="dxa"/>
          </w:tcPr>
          <w:p w:rsidR="00AA2202" w:rsidRDefault="008E1EC0" w:rsidP="00F53A05">
            <w:pPr>
              <w:rPr>
                <w:rFonts w:cs="Arial"/>
                <w:szCs w:val="20"/>
              </w:rPr>
            </w:pPr>
            <w:r>
              <w:rPr>
                <w:rFonts w:cs="Arial"/>
                <w:noProof/>
                <w:szCs w:val="20"/>
                <w:lang w:val="en-US"/>
              </w:rPr>
              <w:drawing>
                <wp:inline distT="0" distB="0" distL="0" distR="0" wp14:anchorId="3624C3E6">
                  <wp:extent cx="4608891" cy="2529922"/>
                  <wp:effectExtent l="0" t="0" r="127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6864" cy="2534299"/>
                          </a:xfrm>
                          <a:prstGeom prst="rect">
                            <a:avLst/>
                          </a:prstGeom>
                          <a:noFill/>
                        </pic:spPr>
                      </pic:pic>
                    </a:graphicData>
                  </a:graphic>
                </wp:inline>
              </w:drawing>
            </w:r>
          </w:p>
        </w:tc>
      </w:tr>
    </w:tbl>
    <w:p w:rsidR="00534429" w:rsidRDefault="00534429" w:rsidP="00534429">
      <w:pPr>
        <w:rPr>
          <w:rFonts w:cs="Arial"/>
          <w:szCs w:val="20"/>
        </w:rPr>
      </w:pPr>
      <w:r>
        <w:rPr>
          <w:rFonts w:cs="Arial"/>
          <w:szCs w:val="20"/>
        </w:rPr>
        <w:t>Additional information under question 5, in relation to transmit power:</w:t>
      </w:r>
    </w:p>
    <w:tbl>
      <w:tblPr>
        <w:tblStyle w:val="Question-group-table"/>
        <w:tblW w:w="0" w:type="auto"/>
        <w:tblCellSpacing w:w="15" w:type="dxa"/>
        <w:tblInd w:w="165" w:type="dxa"/>
        <w:tblCellMar>
          <w:top w:w="15" w:type="dxa"/>
          <w:left w:w="15" w:type="dxa"/>
          <w:bottom w:w="15" w:type="dxa"/>
          <w:right w:w="15" w:type="dxa"/>
        </w:tblCellMar>
        <w:tblLook w:val="04A0" w:firstRow="1" w:lastRow="0" w:firstColumn="1" w:lastColumn="0" w:noHBand="0" w:noVBand="1"/>
      </w:tblPr>
      <w:tblGrid>
        <w:gridCol w:w="979"/>
        <w:gridCol w:w="13451"/>
      </w:tblGrid>
      <w:tr w:rsidR="00534429" w:rsidTr="00534429">
        <w:trPr>
          <w:tblCellSpacing w:w="15" w:type="dxa"/>
        </w:trPr>
        <w:tc>
          <w:tcPr>
            <w:tcW w:w="0" w:type="auto"/>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534429" w:rsidRDefault="00534429" w:rsidP="00601C6B">
            <w:r>
              <w:rPr>
                <w:rFonts w:ascii="Verdana" w:eastAsia="Verdana" w:hAnsi="Verdana" w:cs="Verdana"/>
                <w:sz w:val="18"/>
                <w:szCs w:val="18"/>
                <w:bdr w:val="nil"/>
              </w:rPr>
              <w:t>France</w:t>
            </w:r>
          </w:p>
        </w:tc>
        <w:tc>
          <w:tcPr>
            <w:tcW w:w="13406"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534429" w:rsidRDefault="00534429" w:rsidP="00534429">
            <w:pPr>
              <w:spacing w:after="120"/>
              <w:rPr>
                <w:rFonts w:ascii="Verdana" w:eastAsia="Verdana" w:hAnsi="Verdana" w:cs="Verdana"/>
                <w:sz w:val="18"/>
                <w:szCs w:val="18"/>
                <w:bdr w:val="nil"/>
              </w:rPr>
            </w:pPr>
            <w:r>
              <w:rPr>
                <w:rFonts w:ascii="Verdana" w:eastAsia="Verdana" w:hAnsi="Verdana" w:cs="Verdana"/>
                <w:sz w:val="18"/>
                <w:szCs w:val="18"/>
                <w:bdr w:val="nil"/>
              </w:rPr>
              <w:t xml:space="preserve">Additional information was provided on: </w:t>
            </w:r>
          </w:p>
          <w:tbl>
            <w:tblPr>
              <w:tblStyle w:val="TableGrid"/>
              <w:tblW w:w="4197" w:type="dxa"/>
              <w:tblLook w:val="04A0" w:firstRow="1" w:lastRow="0" w:firstColumn="1" w:lastColumn="0" w:noHBand="0" w:noVBand="1"/>
            </w:tblPr>
            <w:tblGrid>
              <w:gridCol w:w="3517"/>
              <w:gridCol w:w="680"/>
            </w:tblGrid>
            <w:tr w:rsidR="00534429" w:rsidRPr="00534429" w:rsidTr="00534429">
              <w:trPr>
                <w:trHeight w:val="252"/>
              </w:trPr>
              <w:tc>
                <w:tcPr>
                  <w:tcW w:w="3517"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Minimum output power (dBm)</w:t>
                  </w:r>
                </w:p>
              </w:tc>
              <w:tc>
                <w:tcPr>
                  <w:tcW w:w="680"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13</w:t>
                  </w:r>
                </w:p>
              </w:tc>
            </w:tr>
            <w:tr w:rsidR="00534429" w:rsidRPr="00534429" w:rsidTr="00534429">
              <w:trPr>
                <w:trHeight w:val="252"/>
              </w:trPr>
              <w:tc>
                <w:tcPr>
                  <w:tcW w:w="3517" w:type="dxa"/>
                  <w:vAlign w:val="center"/>
                </w:tcPr>
                <w:p w:rsidR="00534429" w:rsidRPr="00534429" w:rsidRDefault="00534429" w:rsidP="00601C6B">
                  <w:pPr>
                    <w:rPr>
                      <w:rFonts w:ascii="Verdana" w:hAnsi="Verdana" w:cstheme="majorHAnsi"/>
                      <w:sz w:val="18"/>
                      <w:szCs w:val="18"/>
                      <w:lang w:val="fr-FR"/>
                    </w:rPr>
                  </w:pPr>
                  <w:proofErr w:type="spellStart"/>
                  <w:r w:rsidRPr="00534429">
                    <w:rPr>
                      <w:rFonts w:ascii="Verdana" w:hAnsi="Verdana" w:cstheme="majorHAnsi"/>
                      <w:sz w:val="18"/>
                      <w:szCs w:val="18"/>
                      <w:lang w:val="fr-FR"/>
                    </w:rPr>
                    <w:t>Average</w:t>
                  </w:r>
                  <w:proofErr w:type="spellEnd"/>
                  <w:r w:rsidRPr="00534429">
                    <w:rPr>
                      <w:rFonts w:ascii="Verdana" w:hAnsi="Verdana" w:cstheme="majorHAnsi"/>
                      <w:sz w:val="18"/>
                      <w:szCs w:val="18"/>
                      <w:lang w:val="fr-FR"/>
                    </w:rPr>
                    <w:t xml:space="preserve"> output power (dBm)</w:t>
                  </w:r>
                </w:p>
              </w:tc>
              <w:tc>
                <w:tcPr>
                  <w:tcW w:w="680"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29</w:t>
                  </w:r>
                </w:p>
              </w:tc>
            </w:tr>
            <w:tr w:rsidR="00534429" w:rsidRPr="00534429" w:rsidTr="00534429">
              <w:trPr>
                <w:trHeight w:val="252"/>
              </w:trPr>
              <w:tc>
                <w:tcPr>
                  <w:tcW w:w="3517" w:type="dxa"/>
                  <w:vAlign w:val="center"/>
                </w:tcPr>
                <w:p w:rsidR="00534429" w:rsidRPr="00534429" w:rsidRDefault="00534429" w:rsidP="00601C6B">
                  <w:pPr>
                    <w:rPr>
                      <w:rFonts w:ascii="Verdana" w:hAnsi="Verdana" w:cstheme="majorHAnsi"/>
                      <w:sz w:val="18"/>
                      <w:szCs w:val="18"/>
                      <w:lang w:val="fr-FR"/>
                    </w:rPr>
                  </w:pPr>
                  <w:proofErr w:type="spellStart"/>
                  <w:r w:rsidRPr="00534429">
                    <w:rPr>
                      <w:rFonts w:ascii="Verdana" w:hAnsi="Verdana" w:cstheme="majorHAnsi"/>
                      <w:sz w:val="18"/>
                      <w:szCs w:val="18"/>
                      <w:lang w:val="fr-FR"/>
                    </w:rPr>
                    <w:t>Median</w:t>
                  </w:r>
                  <w:proofErr w:type="spellEnd"/>
                  <w:r w:rsidRPr="00534429">
                    <w:rPr>
                      <w:rFonts w:ascii="Verdana" w:hAnsi="Verdana" w:cstheme="majorHAnsi"/>
                      <w:sz w:val="18"/>
                      <w:szCs w:val="18"/>
                      <w:lang w:val="fr-FR"/>
                    </w:rPr>
                    <w:t xml:space="preserve"> output power (dBm)</w:t>
                  </w:r>
                </w:p>
              </w:tc>
              <w:tc>
                <w:tcPr>
                  <w:tcW w:w="680"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30</w:t>
                  </w:r>
                </w:p>
              </w:tc>
            </w:tr>
            <w:tr w:rsidR="00534429" w:rsidRPr="00534429" w:rsidTr="00534429">
              <w:trPr>
                <w:trHeight w:val="268"/>
              </w:trPr>
              <w:tc>
                <w:tcPr>
                  <w:tcW w:w="3517"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Maximum output power (dBm)</w:t>
                  </w:r>
                </w:p>
              </w:tc>
              <w:tc>
                <w:tcPr>
                  <w:tcW w:w="680"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34</w:t>
                  </w:r>
                </w:p>
              </w:tc>
            </w:tr>
          </w:tbl>
          <w:p w:rsidR="00534429" w:rsidRPr="00534429" w:rsidRDefault="00534429" w:rsidP="00534429">
            <w:pPr>
              <w:rPr>
                <w:rFonts w:ascii="Verdana" w:hAnsi="Verdana" w:cstheme="majorHAnsi"/>
                <w:b/>
                <w:sz w:val="18"/>
                <w:szCs w:val="18"/>
                <w:lang w:val="fr-FR"/>
              </w:rPr>
            </w:pPr>
          </w:p>
          <w:tbl>
            <w:tblPr>
              <w:tblStyle w:val="TableGrid"/>
              <w:tblW w:w="3340" w:type="dxa"/>
              <w:tblLook w:val="04A0" w:firstRow="1" w:lastRow="0" w:firstColumn="1" w:lastColumn="0" w:noHBand="0" w:noVBand="1"/>
            </w:tblPr>
            <w:tblGrid>
              <w:gridCol w:w="2536"/>
              <w:gridCol w:w="804"/>
            </w:tblGrid>
            <w:tr w:rsidR="00534429" w:rsidRPr="00534429" w:rsidTr="00601C6B">
              <w:tc>
                <w:tcPr>
                  <w:tcW w:w="2536"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Minimum EIRP (dBm)</w:t>
                  </w:r>
                </w:p>
              </w:tc>
              <w:tc>
                <w:tcPr>
                  <w:tcW w:w="804"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46</w:t>
                  </w:r>
                </w:p>
              </w:tc>
            </w:tr>
            <w:tr w:rsidR="00534429" w:rsidRPr="00534429" w:rsidTr="00601C6B">
              <w:tc>
                <w:tcPr>
                  <w:tcW w:w="2536" w:type="dxa"/>
                  <w:vAlign w:val="center"/>
                </w:tcPr>
                <w:p w:rsidR="00534429" w:rsidRPr="00534429" w:rsidRDefault="00534429" w:rsidP="00601C6B">
                  <w:pPr>
                    <w:rPr>
                      <w:rFonts w:ascii="Verdana" w:hAnsi="Verdana" w:cstheme="majorHAnsi"/>
                      <w:sz w:val="18"/>
                      <w:szCs w:val="18"/>
                      <w:lang w:val="fr-FR"/>
                    </w:rPr>
                  </w:pPr>
                  <w:proofErr w:type="spellStart"/>
                  <w:r w:rsidRPr="00534429">
                    <w:rPr>
                      <w:rFonts w:ascii="Verdana" w:hAnsi="Verdana" w:cstheme="majorHAnsi"/>
                      <w:sz w:val="18"/>
                      <w:szCs w:val="18"/>
                      <w:lang w:val="fr-FR"/>
                    </w:rPr>
                    <w:t>Average</w:t>
                  </w:r>
                  <w:proofErr w:type="spellEnd"/>
                  <w:r w:rsidRPr="00534429">
                    <w:rPr>
                      <w:rFonts w:ascii="Verdana" w:hAnsi="Verdana" w:cstheme="majorHAnsi"/>
                      <w:sz w:val="18"/>
                      <w:szCs w:val="18"/>
                      <w:lang w:val="fr-FR"/>
                    </w:rPr>
                    <w:t xml:space="preserve"> EIRP (dBm)</w:t>
                  </w:r>
                </w:p>
              </w:tc>
              <w:tc>
                <w:tcPr>
                  <w:tcW w:w="804"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61.5</w:t>
                  </w:r>
                </w:p>
              </w:tc>
            </w:tr>
            <w:tr w:rsidR="00534429" w:rsidRPr="00534429" w:rsidTr="00601C6B">
              <w:tc>
                <w:tcPr>
                  <w:tcW w:w="2536" w:type="dxa"/>
                  <w:vAlign w:val="center"/>
                </w:tcPr>
                <w:p w:rsidR="00534429" w:rsidRPr="00534429" w:rsidRDefault="00534429" w:rsidP="00601C6B">
                  <w:pPr>
                    <w:rPr>
                      <w:rFonts w:ascii="Verdana" w:hAnsi="Verdana" w:cstheme="majorHAnsi"/>
                      <w:sz w:val="18"/>
                      <w:szCs w:val="18"/>
                      <w:lang w:val="fr-FR"/>
                    </w:rPr>
                  </w:pPr>
                  <w:proofErr w:type="spellStart"/>
                  <w:r w:rsidRPr="00534429">
                    <w:rPr>
                      <w:rFonts w:ascii="Verdana" w:hAnsi="Verdana" w:cstheme="majorHAnsi"/>
                      <w:sz w:val="18"/>
                      <w:szCs w:val="18"/>
                      <w:lang w:val="fr-FR"/>
                    </w:rPr>
                    <w:t>Median</w:t>
                  </w:r>
                  <w:proofErr w:type="spellEnd"/>
                  <w:r w:rsidRPr="00534429">
                    <w:rPr>
                      <w:rFonts w:ascii="Verdana" w:hAnsi="Verdana" w:cstheme="majorHAnsi"/>
                      <w:sz w:val="18"/>
                      <w:szCs w:val="18"/>
                      <w:lang w:val="fr-FR"/>
                    </w:rPr>
                    <w:t xml:space="preserve"> EIRP (dBm)</w:t>
                  </w:r>
                </w:p>
              </w:tc>
              <w:tc>
                <w:tcPr>
                  <w:tcW w:w="804"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62</w:t>
                  </w:r>
                </w:p>
              </w:tc>
            </w:tr>
            <w:tr w:rsidR="00534429" w:rsidRPr="00534429" w:rsidTr="00601C6B">
              <w:tc>
                <w:tcPr>
                  <w:tcW w:w="2536"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Maximum EIRP (dBm)</w:t>
                  </w:r>
                </w:p>
              </w:tc>
              <w:tc>
                <w:tcPr>
                  <w:tcW w:w="804" w:type="dxa"/>
                  <w:vAlign w:val="center"/>
                </w:tcPr>
                <w:p w:rsidR="00534429" w:rsidRPr="00534429" w:rsidRDefault="00534429" w:rsidP="00601C6B">
                  <w:pPr>
                    <w:rPr>
                      <w:rFonts w:ascii="Verdana" w:hAnsi="Verdana" w:cstheme="majorHAnsi"/>
                      <w:sz w:val="18"/>
                      <w:szCs w:val="18"/>
                      <w:lang w:val="fr-FR"/>
                    </w:rPr>
                  </w:pPr>
                  <w:r w:rsidRPr="00534429">
                    <w:rPr>
                      <w:rFonts w:ascii="Verdana" w:hAnsi="Verdana" w:cstheme="majorHAnsi"/>
                      <w:sz w:val="18"/>
                      <w:szCs w:val="18"/>
                      <w:lang w:val="fr-FR"/>
                    </w:rPr>
                    <w:t>75</w:t>
                  </w:r>
                </w:p>
              </w:tc>
            </w:tr>
          </w:tbl>
          <w:p w:rsidR="00534429" w:rsidRDefault="00534429" w:rsidP="00601C6B"/>
        </w:tc>
      </w:tr>
    </w:tbl>
    <w:p w:rsidR="00461912" w:rsidRDefault="00885C24" w:rsidP="00885C24">
      <w:pPr>
        <w:rPr>
          <w:rFonts w:cs="Arial"/>
          <w:szCs w:val="20"/>
        </w:rPr>
      </w:pPr>
      <w:r>
        <w:rPr>
          <w:rFonts w:ascii="Verdana" w:eastAsia="Verdana" w:hAnsi="Verdana" w:cs="Verdana"/>
          <w:sz w:val="18"/>
          <w:szCs w:val="18"/>
        </w:rPr>
        <w:lastRenderedPageBreak/>
        <w:t xml:space="preserve">Information </w:t>
      </w:r>
      <w:r>
        <w:rPr>
          <w:rFonts w:cs="Arial"/>
          <w:szCs w:val="20"/>
        </w:rPr>
        <w:t xml:space="preserve">on the implementation of </w:t>
      </w:r>
      <w:r w:rsidRPr="006305FD">
        <w:rPr>
          <w:rFonts w:ascii="Verdana" w:eastAsia="Verdana" w:hAnsi="Verdana" w:cs="Verdana"/>
          <w:b/>
          <w:sz w:val="18"/>
          <w:szCs w:val="18"/>
        </w:rPr>
        <w:t>Automatic Transmit Power Control</w:t>
      </w:r>
      <w:r>
        <w:rPr>
          <w:rFonts w:ascii="Verdana" w:eastAsia="Verdana" w:hAnsi="Verdana" w:cs="Verdana"/>
          <w:sz w:val="18"/>
          <w:szCs w:val="18"/>
        </w:rPr>
        <w:t xml:space="preserve"> </w:t>
      </w:r>
      <w:r w:rsidR="00461912">
        <w:rPr>
          <w:rFonts w:ascii="Verdana" w:eastAsia="Verdana" w:hAnsi="Verdana" w:cs="Verdana"/>
          <w:sz w:val="18"/>
          <w:szCs w:val="18"/>
        </w:rPr>
        <w:t xml:space="preserve">(ATPC) </w:t>
      </w:r>
      <w:r>
        <w:rPr>
          <w:rFonts w:ascii="Verdana" w:eastAsia="Verdana" w:hAnsi="Verdana" w:cs="Verdana"/>
          <w:sz w:val="18"/>
          <w:szCs w:val="18"/>
        </w:rPr>
        <w:t>was provided only by a small number of CEPT administrations (see the table below)</w:t>
      </w:r>
      <w:r w:rsidR="00E768B0" w:rsidRPr="00E768B0">
        <w:rPr>
          <w:rFonts w:ascii="Verdana" w:eastAsia="Verdana" w:hAnsi="Verdana" w:cs="Verdana"/>
          <w:sz w:val="18"/>
          <w:szCs w:val="18"/>
        </w:rPr>
        <w:t xml:space="preserve"> </w:t>
      </w:r>
      <w:r w:rsidR="00E768B0">
        <w:rPr>
          <w:rFonts w:ascii="Verdana" w:eastAsia="Verdana" w:hAnsi="Verdana" w:cs="Verdana"/>
          <w:sz w:val="18"/>
          <w:szCs w:val="18"/>
        </w:rPr>
        <w:t xml:space="preserve">in relation to </w:t>
      </w:r>
      <w:r w:rsidR="006154B7">
        <w:rPr>
          <w:rFonts w:ascii="Verdana" w:eastAsia="Verdana" w:hAnsi="Verdana" w:cs="Verdana"/>
          <w:sz w:val="18"/>
          <w:szCs w:val="18"/>
        </w:rPr>
        <w:t xml:space="preserve">1033 </w:t>
      </w:r>
      <w:r w:rsidR="00E768B0">
        <w:rPr>
          <w:rFonts w:ascii="Verdana" w:eastAsia="Verdana" w:hAnsi="Verdana" w:cs="Verdana"/>
          <w:sz w:val="18"/>
          <w:szCs w:val="18"/>
        </w:rPr>
        <w:t>FS links (</w:t>
      </w:r>
      <w:r w:rsidR="00E768B0">
        <w:rPr>
          <w:rFonts w:cs="Arial"/>
          <w:szCs w:val="20"/>
        </w:rPr>
        <w:t xml:space="preserve">out of a total of </w:t>
      </w:r>
      <w:r w:rsidR="001D5DF4">
        <w:rPr>
          <w:rFonts w:cs="Arial"/>
          <w:szCs w:val="20"/>
        </w:rPr>
        <w:t>11738</w:t>
      </w:r>
      <w:r w:rsidR="00E768B0">
        <w:rPr>
          <w:rFonts w:cs="Arial"/>
          <w:szCs w:val="20"/>
        </w:rPr>
        <w:t>)</w:t>
      </w:r>
      <w:r>
        <w:rPr>
          <w:rFonts w:ascii="Verdana" w:eastAsia="Verdana" w:hAnsi="Verdana" w:cs="Verdana"/>
          <w:sz w:val="18"/>
          <w:szCs w:val="18"/>
        </w:rPr>
        <w:t>.</w:t>
      </w:r>
      <w:r w:rsidRPr="00885C24">
        <w:rPr>
          <w:rFonts w:cs="Arial"/>
          <w:szCs w:val="20"/>
        </w:rPr>
        <w:t xml:space="preserve"> </w:t>
      </w:r>
    </w:p>
    <w:p w:rsidR="00885C24" w:rsidRPr="00B02F85" w:rsidRDefault="00885C24" w:rsidP="00885C24">
      <w:pPr>
        <w:rPr>
          <w:rFonts w:ascii="Verdana" w:eastAsia="Verdana" w:hAnsi="Verdana" w:cs="Verdana"/>
          <w:sz w:val="18"/>
          <w:szCs w:val="18"/>
        </w:rPr>
      </w:pPr>
      <w:r w:rsidRPr="00B02F85">
        <w:rPr>
          <w:rFonts w:ascii="Verdana" w:eastAsia="Verdana" w:hAnsi="Verdana" w:cs="Verdana"/>
          <w:sz w:val="18"/>
          <w:szCs w:val="18"/>
        </w:rPr>
        <w:t>In addition Hungary, Spain, Sweden informed that ATPC is allowed but not mandatory</w:t>
      </w:r>
      <w:r w:rsidR="00461912" w:rsidRPr="00B02F85">
        <w:rPr>
          <w:rFonts w:ascii="Verdana" w:eastAsia="Verdana" w:hAnsi="Verdana" w:cs="Verdana"/>
          <w:sz w:val="18"/>
          <w:szCs w:val="18"/>
        </w:rPr>
        <w:t>; Czech Republic and Greece reported that ATPC is allowed but the no specific information is registered in the license.</w:t>
      </w:r>
    </w:p>
    <w:p w:rsidR="00885C24" w:rsidRDefault="00461912" w:rsidP="00885C24">
      <w:pPr>
        <w:rPr>
          <w:rFonts w:ascii="Verdana" w:eastAsia="Verdana" w:hAnsi="Verdana" w:cs="Verdana"/>
          <w:sz w:val="18"/>
          <w:szCs w:val="18"/>
          <w:bdr w:val="nil"/>
        </w:rPr>
      </w:pPr>
      <w:r>
        <w:rPr>
          <w:rFonts w:ascii="Verdana" w:eastAsia="Verdana" w:hAnsi="Verdana" w:cs="Verdana"/>
          <w:sz w:val="18"/>
          <w:szCs w:val="18"/>
        </w:rPr>
        <w:t xml:space="preserve">Slovenia clarified that </w:t>
      </w:r>
      <w:r>
        <w:rPr>
          <w:rFonts w:ascii="Verdana" w:eastAsia="Verdana" w:hAnsi="Verdana" w:cs="Verdana"/>
          <w:sz w:val="18"/>
          <w:szCs w:val="18"/>
          <w:bdr w:val="nil"/>
        </w:rPr>
        <w:t>allowed technics (adaptive modulation, automatic transmit power control, etc.) should be used as specified in ETSI EN 302 217.</w:t>
      </w:r>
    </w:p>
    <w:p w:rsidR="00461912" w:rsidRDefault="00461912" w:rsidP="00885C24">
      <w:pPr>
        <w:rPr>
          <w:rFonts w:ascii="Verdana" w:eastAsia="Verdana" w:hAnsi="Verdana" w:cs="Verdana"/>
          <w:sz w:val="18"/>
          <w:szCs w:val="18"/>
        </w:rPr>
      </w:pPr>
    </w:p>
    <w:tbl>
      <w:tblPr>
        <w:tblStyle w:val="ECCTable-redheader"/>
        <w:tblW w:w="0" w:type="auto"/>
        <w:tblInd w:w="-1816" w:type="dxa"/>
        <w:tblLook w:val="04A0" w:firstRow="1" w:lastRow="0" w:firstColumn="1" w:lastColumn="0" w:noHBand="0" w:noVBand="1"/>
      </w:tblPr>
      <w:tblGrid>
        <w:gridCol w:w="2430"/>
        <w:gridCol w:w="2070"/>
        <w:gridCol w:w="2461"/>
      </w:tblGrid>
      <w:tr w:rsidR="00885C24" w:rsidRPr="001A702C" w:rsidTr="008E1EC0">
        <w:trPr>
          <w:cnfStyle w:val="100000000000" w:firstRow="1" w:lastRow="0" w:firstColumn="0" w:lastColumn="0" w:oddVBand="0" w:evenVBand="0" w:oddHBand="0" w:evenHBand="0" w:firstRowFirstColumn="0" w:firstRowLastColumn="0" w:lastRowFirstColumn="0" w:lastRowLastColumn="0"/>
        </w:trPr>
        <w:tc>
          <w:tcPr>
            <w:tcW w:w="2430" w:type="dxa"/>
          </w:tcPr>
          <w:p w:rsidR="00885C24" w:rsidRPr="001A702C" w:rsidRDefault="00885C24" w:rsidP="00F53A05">
            <w:pPr>
              <w:jc w:val="left"/>
              <w:rPr>
                <w:rFonts w:cs="Arial"/>
                <w:i w:val="0"/>
                <w:szCs w:val="20"/>
              </w:rPr>
            </w:pPr>
            <w:r w:rsidRPr="001A702C">
              <w:rPr>
                <w:rFonts w:cs="Arial"/>
                <w:i w:val="0"/>
                <w:szCs w:val="20"/>
              </w:rPr>
              <w:t>Country</w:t>
            </w:r>
          </w:p>
        </w:tc>
        <w:tc>
          <w:tcPr>
            <w:tcW w:w="2070" w:type="dxa"/>
          </w:tcPr>
          <w:p w:rsidR="00885C24" w:rsidRPr="001A702C" w:rsidRDefault="00885C24" w:rsidP="00F53A05">
            <w:pPr>
              <w:rPr>
                <w:rFonts w:cs="Arial"/>
                <w:i w:val="0"/>
                <w:szCs w:val="20"/>
              </w:rPr>
            </w:pPr>
            <w:r>
              <w:rPr>
                <w:rFonts w:cs="Arial"/>
                <w:i w:val="0"/>
                <w:szCs w:val="20"/>
              </w:rPr>
              <w:t>number of</w:t>
            </w:r>
            <w:r w:rsidRPr="001A702C">
              <w:rPr>
                <w:rFonts w:cs="Arial"/>
                <w:i w:val="0"/>
                <w:szCs w:val="20"/>
              </w:rPr>
              <w:t xml:space="preserve"> FS link with ATPC</w:t>
            </w:r>
          </w:p>
        </w:tc>
        <w:tc>
          <w:tcPr>
            <w:tcW w:w="2461" w:type="dxa"/>
          </w:tcPr>
          <w:p w:rsidR="00885C24" w:rsidRPr="001A702C" w:rsidRDefault="00885C24" w:rsidP="00F84E83">
            <w:pPr>
              <w:rPr>
                <w:rFonts w:cs="Arial"/>
                <w:i w:val="0"/>
                <w:szCs w:val="20"/>
              </w:rPr>
            </w:pPr>
            <w:r w:rsidRPr="001A702C">
              <w:rPr>
                <w:rFonts w:cs="Arial"/>
                <w:i w:val="0"/>
                <w:szCs w:val="20"/>
              </w:rPr>
              <w:t>% of FS link</w:t>
            </w:r>
            <w:r w:rsidR="008E1EC0">
              <w:rPr>
                <w:rFonts w:cs="Arial"/>
                <w:i w:val="0"/>
                <w:szCs w:val="20"/>
              </w:rPr>
              <w:t xml:space="preserve"> in the country</w:t>
            </w:r>
            <w:r w:rsidRPr="001A702C">
              <w:rPr>
                <w:rFonts w:cs="Arial"/>
                <w:i w:val="0"/>
                <w:szCs w:val="20"/>
              </w:rPr>
              <w:t xml:space="preserve"> with ATPC</w:t>
            </w:r>
          </w:p>
        </w:tc>
      </w:tr>
      <w:tr w:rsidR="00885C24" w:rsidTr="008E1EC0">
        <w:tc>
          <w:tcPr>
            <w:tcW w:w="2430" w:type="dxa"/>
          </w:tcPr>
          <w:p w:rsidR="00885C24" w:rsidRDefault="00885C24" w:rsidP="00F53A05">
            <w:pPr>
              <w:rPr>
                <w:rFonts w:cs="Arial"/>
                <w:szCs w:val="20"/>
              </w:rPr>
            </w:pPr>
            <w:r>
              <w:rPr>
                <w:rFonts w:cs="Arial"/>
                <w:szCs w:val="20"/>
              </w:rPr>
              <w:t>Albania</w:t>
            </w:r>
          </w:p>
        </w:tc>
        <w:tc>
          <w:tcPr>
            <w:tcW w:w="2070" w:type="dxa"/>
          </w:tcPr>
          <w:p w:rsidR="00885C24" w:rsidRDefault="00922431" w:rsidP="00F53A05">
            <w:pPr>
              <w:jc w:val="center"/>
              <w:rPr>
                <w:rFonts w:cs="Arial"/>
                <w:szCs w:val="20"/>
              </w:rPr>
            </w:pPr>
            <w:r>
              <w:rPr>
                <w:rFonts w:cs="Arial"/>
                <w:szCs w:val="20"/>
              </w:rPr>
              <w:t>17</w:t>
            </w:r>
          </w:p>
        </w:tc>
        <w:tc>
          <w:tcPr>
            <w:tcW w:w="2461" w:type="dxa"/>
          </w:tcPr>
          <w:p w:rsidR="00885C24" w:rsidRDefault="00461912" w:rsidP="00F53A05">
            <w:pPr>
              <w:jc w:val="center"/>
              <w:rPr>
                <w:rFonts w:cs="Arial"/>
                <w:szCs w:val="20"/>
              </w:rPr>
            </w:pPr>
            <w:r>
              <w:rPr>
                <w:rFonts w:cs="Arial"/>
                <w:szCs w:val="20"/>
              </w:rPr>
              <w:t>12</w:t>
            </w:r>
            <w:r w:rsidR="00885C24">
              <w:rPr>
                <w:rFonts w:cs="Arial"/>
                <w:szCs w:val="20"/>
              </w:rPr>
              <w:t>%</w:t>
            </w:r>
          </w:p>
        </w:tc>
      </w:tr>
      <w:tr w:rsidR="00461912" w:rsidTr="008E1EC0">
        <w:tc>
          <w:tcPr>
            <w:tcW w:w="2430" w:type="dxa"/>
          </w:tcPr>
          <w:p w:rsidR="00461912" w:rsidRDefault="00461912" w:rsidP="00F53A05">
            <w:pPr>
              <w:rPr>
                <w:rFonts w:cs="Arial"/>
                <w:szCs w:val="20"/>
              </w:rPr>
            </w:pPr>
            <w:r>
              <w:rPr>
                <w:rFonts w:cs="Arial"/>
                <w:szCs w:val="20"/>
              </w:rPr>
              <w:t>Bosnia and Herzegovina</w:t>
            </w:r>
          </w:p>
        </w:tc>
        <w:tc>
          <w:tcPr>
            <w:tcW w:w="2070" w:type="dxa"/>
          </w:tcPr>
          <w:p w:rsidR="00461912" w:rsidRDefault="00922431" w:rsidP="00F53A05">
            <w:pPr>
              <w:jc w:val="center"/>
              <w:rPr>
                <w:rFonts w:cs="Arial"/>
                <w:szCs w:val="20"/>
              </w:rPr>
            </w:pPr>
            <w:r>
              <w:rPr>
                <w:rFonts w:cs="Arial"/>
                <w:szCs w:val="20"/>
              </w:rPr>
              <w:t>4</w:t>
            </w:r>
          </w:p>
        </w:tc>
        <w:tc>
          <w:tcPr>
            <w:tcW w:w="2461" w:type="dxa"/>
          </w:tcPr>
          <w:p w:rsidR="00461912" w:rsidRDefault="00461912" w:rsidP="00461912">
            <w:pPr>
              <w:jc w:val="center"/>
              <w:rPr>
                <w:rFonts w:cs="Arial"/>
                <w:szCs w:val="20"/>
              </w:rPr>
            </w:pPr>
            <w:r>
              <w:rPr>
                <w:rFonts w:cs="Arial"/>
                <w:szCs w:val="20"/>
              </w:rPr>
              <w:t>8.7%</w:t>
            </w:r>
          </w:p>
        </w:tc>
      </w:tr>
      <w:tr w:rsidR="00461912" w:rsidTr="008E1EC0">
        <w:tc>
          <w:tcPr>
            <w:tcW w:w="2430" w:type="dxa"/>
          </w:tcPr>
          <w:p w:rsidR="00461912" w:rsidRDefault="00461912" w:rsidP="00F53A05">
            <w:pPr>
              <w:rPr>
                <w:rFonts w:cs="Arial"/>
                <w:szCs w:val="20"/>
              </w:rPr>
            </w:pPr>
            <w:r>
              <w:rPr>
                <w:rFonts w:cs="Arial"/>
                <w:szCs w:val="20"/>
              </w:rPr>
              <w:t>Bulgaria</w:t>
            </w:r>
          </w:p>
        </w:tc>
        <w:tc>
          <w:tcPr>
            <w:tcW w:w="2070" w:type="dxa"/>
          </w:tcPr>
          <w:p w:rsidR="00461912" w:rsidRDefault="00922431" w:rsidP="00F53A05">
            <w:pPr>
              <w:jc w:val="center"/>
              <w:rPr>
                <w:rFonts w:cs="Arial"/>
                <w:szCs w:val="20"/>
              </w:rPr>
            </w:pPr>
            <w:r>
              <w:rPr>
                <w:rFonts w:cs="Arial"/>
                <w:szCs w:val="20"/>
              </w:rPr>
              <w:t>116</w:t>
            </w:r>
          </w:p>
        </w:tc>
        <w:tc>
          <w:tcPr>
            <w:tcW w:w="2461" w:type="dxa"/>
          </w:tcPr>
          <w:p w:rsidR="00461912" w:rsidRDefault="00461912" w:rsidP="00F53A05">
            <w:pPr>
              <w:jc w:val="center"/>
              <w:rPr>
                <w:rFonts w:cs="Arial"/>
                <w:szCs w:val="20"/>
              </w:rPr>
            </w:pPr>
            <w:r>
              <w:rPr>
                <w:rFonts w:cs="Arial"/>
                <w:szCs w:val="20"/>
              </w:rPr>
              <w:t>50%</w:t>
            </w:r>
          </w:p>
        </w:tc>
      </w:tr>
      <w:tr w:rsidR="006154B7" w:rsidTr="008E1EC0">
        <w:tc>
          <w:tcPr>
            <w:tcW w:w="2430" w:type="dxa"/>
          </w:tcPr>
          <w:p w:rsidR="006154B7" w:rsidRDefault="006154B7" w:rsidP="00F53A05">
            <w:pPr>
              <w:rPr>
                <w:rFonts w:cs="Arial"/>
                <w:szCs w:val="20"/>
              </w:rPr>
            </w:pPr>
            <w:r>
              <w:rPr>
                <w:rFonts w:cs="Arial"/>
                <w:szCs w:val="20"/>
              </w:rPr>
              <w:t>France</w:t>
            </w:r>
          </w:p>
        </w:tc>
        <w:tc>
          <w:tcPr>
            <w:tcW w:w="2070" w:type="dxa"/>
          </w:tcPr>
          <w:p w:rsidR="006154B7" w:rsidRDefault="006154B7" w:rsidP="00F53A05">
            <w:pPr>
              <w:jc w:val="center"/>
              <w:rPr>
                <w:rFonts w:cs="Arial"/>
                <w:szCs w:val="20"/>
              </w:rPr>
            </w:pPr>
            <w:r>
              <w:rPr>
                <w:rFonts w:cs="Arial"/>
                <w:szCs w:val="20"/>
              </w:rPr>
              <w:t>219</w:t>
            </w:r>
          </w:p>
        </w:tc>
        <w:tc>
          <w:tcPr>
            <w:tcW w:w="2461" w:type="dxa"/>
          </w:tcPr>
          <w:p w:rsidR="006154B7" w:rsidRDefault="006154B7" w:rsidP="00F53A05">
            <w:pPr>
              <w:jc w:val="center"/>
              <w:rPr>
                <w:rFonts w:cs="Arial"/>
                <w:szCs w:val="20"/>
              </w:rPr>
            </w:pPr>
            <w:r>
              <w:rPr>
                <w:rFonts w:cs="Arial"/>
                <w:szCs w:val="20"/>
              </w:rPr>
              <w:t>13%</w:t>
            </w:r>
          </w:p>
        </w:tc>
      </w:tr>
      <w:tr w:rsidR="00461912" w:rsidTr="008E1EC0">
        <w:tc>
          <w:tcPr>
            <w:tcW w:w="2430" w:type="dxa"/>
          </w:tcPr>
          <w:p w:rsidR="00461912" w:rsidRDefault="00461912" w:rsidP="00F53A05">
            <w:pPr>
              <w:rPr>
                <w:rFonts w:cs="Arial"/>
                <w:szCs w:val="20"/>
              </w:rPr>
            </w:pPr>
            <w:r>
              <w:rPr>
                <w:rFonts w:cs="Arial"/>
                <w:szCs w:val="20"/>
              </w:rPr>
              <w:t>Germany</w:t>
            </w:r>
          </w:p>
        </w:tc>
        <w:tc>
          <w:tcPr>
            <w:tcW w:w="2070" w:type="dxa"/>
          </w:tcPr>
          <w:p w:rsidR="00461912" w:rsidRDefault="00922431" w:rsidP="00F53A05">
            <w:pPr>
              <w:jc w:val="center"/>
              <w:rPr>
                <w:rFonts w:cs="Arial"/>
                <w:szCs w:val="20"/>
              </w:rPr>
            </w:pPr>
            <w:r>
              <w:rPr>
                <w:rFonts w:cs="Arial"/>
                <w:szCs w:val="20"/>
              </w:rPr>
              <w:t>421</w:t>
            </w:r>
          </w:p>
        </w:tc>
        <w:tc>
          <w:tcPr>
            <w:tcW w:w="2461" w:type="dxa"/>
          </w:tcPr>
          <w:p w:rsidR="00461912" w:rsidRDefault="00461912" w:rsidP="00F53A05">
            <w:pPr>
              <w:jc w:val="center"/>
              <w:rPr>
                <w:rFonts w:cs="Arial"/>
                <w:szCs w:val="20"/>
              </w:rPr>
            </w:pPr>
            <w:r>
              <w:rPr>
                <w:rFonts w:cs="Arial"/>
                <w:szCs w:val="20"/>
              </w:rPr>
              <w:t>53.7%</w:t>
            </w:r>
          </w:p>
        </w:tc>
      </w:tr>
      <w:tr w:rsidR="00885C24" w:rsidTr="008E1EC0">
        <w:tc>
          <w:tcPr>
            <w:tcW w:w="2430" w:type="dxa"/>
          </w:tcPr>
          <w:p w:rsidR="00885C24" w:rsidRDefault="00885C24" w:rsidP="00F53A05">
            <w:pPr>
              <w:rPr>
                <w:rFonts w:cs="Arial"/>
                <w:szCs w:val="20"/>
              </w:rPr>
            </w:pPr>
            <w:r>
              <w:rPr>
                <w:rFonts w:cs="Arial"/>
                <w:szCs w:val="20"/>
              </w:rPr>
              <w:t>Montenegro</w:t>
            </w:r>
          </w:p>
        </w:tc>
        <w:tc>
          <w:tcPr>
            <w:tcW w:w="2070" w:type="dxa"/>
          </w:tcPr>
          <w:p w:rsidR="00885C24" w:rsidRDefault="00922431" w:rsidP="00F53A05">
            <w:pPr>
              <w:jc w:val="center"/>
              <w:rPr>
                <w:rFonts w:cs="Arial"/>
                <w:szCs w:val="20"/>
              </w:rPr>
            </w:pPr>
            <w:r>
              <w:rPr>
                <w:rFonts w:cs="Arial"/>
                <w:szCs w:val="20"/>
              </w:rPr>
              <w:t>132</w:t>
            </w:r>
          </w:p>
        </w:tc>
        <w:tc>
          <w:tcPr>
            <w:tcW w:w="2461" w:type="dxa"/>
          </w:tcPr>
          <w:p w:rsidR="00885C24" w:rsidRDefault="00885C24" w:rsidP="00F53A05">
            <w:pPr>
              <w:jc w:val="center"/>
              <w:rPr>
                <w:rFonts w:cs="Arial"/>
                <w:szCs w:val="20"/>
              </w:rPr>
            </w:pPr>
            <w:r>
              <w:rPr>
                <w:rFonts w:cs="Arial"/>
                <w:szCs w:val="20"/>
              </w:rPr>
              <w:t>100%</w:t>
            </w:r>
          </w:p>
        </w:tc>
      </w:tr>
      <w:tr w:rsidR="00885C24" w:rsidTr="008E1EC0">
        <w:tc>
          <w:tcPr>
            <w:tcW w:w="2430" w:type="dxa"/>
          </w:tcPr>
          <w:p w:rsidR="00885C24" w:rsidRDefault="00885C24" w:rsidP="00F53A05">
            <w:pPr>
              <w:rPr>
                <w:rFonts w:cs="Arial"/>
                <w:szCs w:val="20"/>
              </w:rPr>
            </w:pPr>
            <w:r>
              <w:rPr>
                <w:rFonts w:cs="Arial"/>
                <w:szCs w:val="20"/>
              </w:rPr>
              <w:t>Portugal</w:t>
            </w:r>
          </w:p>
        </w:tc>
        <w:tc>
          <w:tcPr>
            <w:tcW w:w="2070" w:type="dxa"/>
          </w:tcPr>
          <w:p w:rsidR="00885C24" w:rsidRDefault="008E1EC0" w:rsidP="00F53A05">
            <w:pPr>
              <w:jc w:val="center"/>
              <w:rPr>
                <w:rFonts w:cs="Arial"/>
                <w:szCs w:val="20"/>
              </w:rPr>
            </w:pPr>
            <w:r>
              <w:rPr>
                <w:rFonts w:cs="Arial"/>
                <w:szCs w:val="20"/>
              </w:rPr>
              <w:t>0</w:t>
            </w:r>
          </w:p>
        </w:tc>
        <w:tc>
          <w:tcPr>
            <w:tcW w:w="2461" w:type="dxa"/>
          </w:tcPr>
          <w:p w:rsidR="00885C24" w:rsidRDefault="00885C24" w:rsidP="00F53A05">
            <w:pPr>
              <w:jc w:val="center"/>
              <w:rPr>
                <w:rFonts w:cs="Arial"/>
                <w:szCs w:val="20"/>
              </w:rPr>
            </w:pPr>
            <w:r>
              <w:rPr>
                <w:rFonts w:cs="Arial"/>
                <w:szCs w:val="20"/>
              </w:rPr>
              <w:t>0</w:t>
            </w:r>
          </w:p>
        </w:tc>
      </w:tr>
      <w:tr w:rsidR="00885C24" w:rsidTr="008E1EC0">
        <w:tc>
          <w:tcPr>
            <w:tcW w:w="2430" w:type="dxa"/>
          </w:tcPr>
          <w:p w:rsidR="00885C24" w:rsidRDefault="00885C24" w:rsidP="00F53A05">
            <w:pPr>
              <w:rPr>
                <w:rFonts w:cs="Arial"/>
                <w:szCs w:val="20"/>
              </w:rPr>
            </w:pPr>
            <w:r>
              <w:rPr>
                <w:rFonts w:cs="Arial"/>
                <w:szCs w:val="20"/>
              </w:rPr>
              <w:t>Slovakia</w:t>
            </w:r>
          </w:p>
        </w:tc>
        <w:tc>
          <w:tcPr>
            <w:tcW w:w="2070" w:type="dxa"/>
          </w:tcPr>
          <w:p w:rsidR="00885C24" w:rsidRDefault="008E1EC0" w:rsidP="00F53A05">
            <w:pPr>
              <w:jc w:val="center"/>
              <w:rPr>
                <w:rFonts w:cs="Arial"/>
                <w:szCs w:val="20"/>
              </w:rPr>
            </w:pPr>
            <w:r>
              <w:rPr>
                <w:rFonts w:cs="Arial"/>
                <w:szCs w:val="20"/>
              </w:rPr>
              <w:t>51</w:t>
            </w:r>
          </w:p>
        </w:tc>
        <w:tc>
          <w:tcPr>
            <w:tcW w:w="2461" w:type="dxa"/>
          </w:tcPr>
          <w:p w:rsidR="00885C24" w:rsidRDefault="00885C24" w:rsidP="00F53A05">
            <w:pPr>
              <w:jc w:val="center"/>
              <w:rPr>
                <w:rFonts w:cs="Arial"/>
                <w:szCs w:val="20"/>
              </w:rPr>
            </w:pPr>
            <w:r>
              <w:rPr>
                <w:rFonts w:cs="Arial"/>
                <w:szCs w:val="20"/>
              </w:rPr>
              <w:t>72.7%</w:t>
            </w:r>
          </w:p>
        </w:tc>
      </w:tr>
      <w:tr w:rsidR="00885C24" w:rsidTr="008E1EC0">
        <w:tc>
          <w:tcPr>
            <w:tcW w:w="2430" w:type="dxa"/>
          </w:tcPr>
          <w:p w:rsidR="00885C24" w:rsidRDefault="00885C24" w:rsidP="00F53A05">
            <w:pPr>
              <w:rPr>
                <w:rFonts w:cs="Arial"/>
                <w:szCs w:val="20"/>
              </w:rPr>
            </w:pPr>
            <w:r>
              <w:rPr>
                <w:rFonts w:cs="Arial"/>
                <w:szCs w:val="20"/>
              </w:rPr>
              <w:t>Slovenia</w:t>
            </w:r>
          </w:p>
        </w:tc>
        <w:tc>
          <w:tcPr>
            <w:tcW w:w="2070" w:type="dxa"/>
          </w:tcPr>
          <w:p w:rsidR="00885C24" w:rsidRDefault="00922431" w:rsidP="00F53A05">
            <w:pPr>
              <w:jc w:val="center"/>
              <w:rPr>
                <w:rFonts w:cs="Arial"/>
                <w:szCs w:val="20"/>
              </w:rPr>
            </w:pPr>
            <w:r>
              <w:rPr>
                <w:rFonts w:cs="Arial"/>
                <w:szCs w:val="20"/>
              </w:rPr>
              <w:t>10</w:t>
            </w:r>
          </w:p>
        </w:tc>
        <w:tc>
          <w:tcPr>
            <w:tcW w:w="2461" w:type="dxa"/>
          </w:tcPr>
          <w:p w:rsidR="00885C24" w:rsidRDefault="00461912" w:rsidP="00F53A05">
            <w:pPr>
              <w:jc w:val="center"/>
              <w:rPr>
                <w:rFonts w:cs="Arial"/>
                <w:szCs w:val="20"/>
              </w:rPr>
            </w:pPr>
            <w:r>
              <w:rPr>
                <w:rFonts w:cs="Arial"/>
                <w:szCs w:val="20"/>
              </w:rPr>
              <w:t>100</w:t>
            </w:r>
            <w:r w:rsidR="00885C24">
              <w:rPr>
                <w:rFonts w:cs="Arial"/>
                <w:szCs w:val="20"/>
              </w:rPr>
              <w:t>%</w:t>
            </w:r>
          </w:p>
        </w:tc>
      </w:tr>
      <w:tr w:rsidR="00922431" w:rsidTr="008E1EC0">
        <w:tc>
          <w:tcPr>
            <w:tcW w:w="2430" w:type="dxa"/>
          </w:tcPr>
          <w:p w:rsidR="00922431" w:rsidRDefault="00922431" w:rsidP="00F53A05">
            <w:pPr>
              <w:rPr>
                <w:rFonts w:cs="Arial"/>
                <w:szCs w:val="20"/>
              </w:rPr>
            </w:pPr>
            <w:r>
              <w:rPr>
                <w:rFonts w:cs="Arial"/>
                <w:szCs w:val="20"/>
              </w:rPr>
              <w:t>Switzerland</w:t>
            </w:r>
          </w:p>
        </w:tc>
        <w:tc>
          <w:tcPr>
            <w:tcW w:w="2070" w:type="dxa"/>
          </w:tcPr>
          <w:p w:rsidR="00922431" w:rsidRDefault="00922431" w:rsidP="00F53A05">
            <w:pPr>
              <w:jc w:val="center"/>
              <w:rPr>
                <w:rFonts w:cs="Arial"/>
                <w:szCs w:val="20"/>
              </w:rPr>
            </w:pPr>
            <w:r>
              <w:rPr>
                <w:rFonts w:cs="Arial"/>
                <w:szCs w:val="20"/>
              </w:rPr>
              <w:t>53</w:t>
            </w:r>
          </w:p>
        </w:tc>
        <w:tc>
          <w:tcPr>
            <w:tcW w:w="2461" w:type="dxa"/>
          </w:tcPr>
          <w:p w:rsidR="00922431" w:rsidRDefault="00922431" w:rsidP="00F53A05">
            <w:pPr>
              <w:jc w:val="center"/>
              <w:rPr>
                <w:rFonts w:cs="Arial"/>
                <w:szCs w:val="20"/>
              </w:rPr>
            </w:pPr>
            <w:r>
              <w:rPr>
                <w:rFonts w:cs="Arial"/>
                <w:szCs w:val="20"/>
              </w:rPr>
              <w:t>100%</w:t>
            </w:r>
          </w:p>
        </w:tc>
      </w:tr>
      <w:tr w:rsidR="00E768B0" w:rsidTr="008E1EC0">
        <w:tc>
          <w:tcPr>
            <w:tcW w:w="2430" w:type="dxa"/>
          </w:tcPr>
          <w:p w:rsidR="00E768B0" w:rsidRPr="00E768B0" w:rsidRDefault="00E768B0" w:rsidP="00F53A05">
            <w:pPr>
              <w:rPr>
                <w:rFonts w:cs="Arial"/>
                <w:b/>
                <w:szCs w:val="20"/>
              </w:rPr>
            </w:pPr>
            <w:r>
              <w:rPr>
                <w:rFonts w:cs="Arial"/>
                <w:b/>
                <w:szCs w:val="20"/>
              </w:rPr>
              <w:t>TOTAL</w:t>
            </w:r>
          </w:p>
        </w:tc>
        <w:tc>
          <w:tcPr>
            <w:tcW w:w="2070" w:type="dxa"/>
          </w:tcPr>
          <w:p w:rsidR="00E768B0" w:rsidRPr="00E768B0" w:rsidRDefault="00E768B0" w:rsidP="00F53A05">
            <w:pPr>
              <w:jc w:val="center"/>
              <w:rPr>
                <w:rFonts w:cs="Arial"/>
                <w:b/>
                <w:szCs w:val="20"/>
              </w:rPr>
            </w:pPr>
            <w:r w:rsidRPr="00E768B0">
              <w:rPr>
                <w:rFonts w:cs="Arial"/>
                <w:b/>
                <w:szCs w:val="20"/>
              </w:rPr>
              <w:fldChar w:fldCharType="begin"/>
            </w:r>
            <w:r w:rsidRPr="00E768B0">
              <w:rPr>
                <w:rFonts w:cs="Arial"/>
                <w:b/>
                <w:szCs w:val="20"/>
              </w:rPr>
              <w:instrText xml:space="preserve"> =SUM(ABOVE) </w:instrText>
            </w:r>
            <w:r w:rsidRPr="00E768B0">
              <w:rPr>
                <w:rFonts w:cs="Arial"/>
                <w:b/>
                <w:szCs w:val="20"/>
              </w:rPr>
              <w:fldChar w:fldCharType="separate"/>
            </w:r>
            <w:r w:rsidR="00F84E83">
              <w:rPr>
                <w:rFonts w:cs="Arial"/>
                <w:b/>
                <w:noProof/>
                <w:szCs w:val="20"/>
              </w:rPr>
              <w:t>1023</w:t>
            </w:r>
            <w:r w:rsidRPr="00E768B0">
              <w:rPr>
                <w:rFonts w:cs="Arial"/>
                <w:b/>
                <w:szCs w:val="20"/>
              </w:rPr>
              <w:fldChar w:fldCharType="end"/>
            </w:r>
          </w:p>
        </w:tc>
        <w:tc>
          <w:tcPr>
            <w:tcW w:w="2461" w:type="dxa"/>
          </w:tcPr>
          <w:p w:rsidR="00E768B0" w:rsidRDefault="00E768B0" w:rsidP="00F53A05">
            <w:pPr>
              <w:jc w:val="center"/>
              <w:rPr>
                <w:rFonts w:cs="Arial"/>
                <w:szCs w:val="20"/>
              </w:rPr>
            </w:pPr>
          </w:p>
        </w:tc>
      </w:tr>
    </w:tbl>
    <w:p w:rsidR="006305FD" w:rsidRDefault="006305FD">
      <w:pPr>
        <w:rPr>
          <w:rFonts w:cs="Arial"/>
          <w:b/>
          <w:szCs w:val="20"/>
        </w:rPr>
      </w:pPr>
    </w:p>
    <w:p w:rsidR="004B16DC" w:rsidRPr="00935E91" w:rsidRDefault="004B16DC">
      <w:pPr>
        <w:rPr>
          <w:rFonts w:cs="Arial"/>
          <w:b/>
          <w:szCs w:val="20"/>
        </w:rPr>
      </w:pPr>
      <w:r w:rsidRPr="00935E91">
        <w:rPr>
          <w:rFonts w:cs="Arial"/>
          <w:b/>
          <w:szCs w:val="20"/>
        </w:rPr>
        <w:br w:type="page"/>
      </w:r>
    </w:p>
    <w:p w:rsidR="004B16DC" w:rsidRDefault="004B16DC" w:rsidP="004B16DC">
      <w:pPr>
        <w:rPr>
          <w:rFonts w:cs="Arial"/>
          <w:b/>
          <w:szCs w:val="20"/>
        </w:rPr>
      </w:pPr>
      <w:r w:rsidRPr="00935E91">
        <w:rPr>
          <w:rFonts w:cs="Arial"/>
          <w:b/>
          <w:szCs w:val="20"/>
        </w:rPr>
        <w:lastRenderedPageBreak/>
        <w:t>Question 7: What is the minimum fade margin respectively maximum fade margin allowed? Please also indicate distribution of fade margin in Table 4 (spreadsheet).</w:t>
      </w:r>
    </w:p>
    <w:p w:rsidR="00E768B0" w:rsidRDefault="00E768B0" w:rsidP="00E768B0">
      <w:pPr>
        <w:spacing w:line="276" w:lineRule="auto"/>
        <w:jc w:val="left"/>
        <w:rPr>
          <w:rFonts w:cs="Arial"/>
          <w:szCs w:val="20"/>
        </w:rPr>
      </w:pPr>
      <w:r>
        <w:rPr>
          <w:rFonts w:cs="Arial"/>
          <w:szCs w:val="20"/>
        </w:rPr>
        <w:t xml:space="preserve">The information on the </w:t>
      </w:r>
      <w:r w:rsidRPr="00E768B0">
        <w:rPr>
          <w:rFonts w:cs="Arial"/>
          <w:szCs w:val="20"/>
        </w:rPr>
        <w:t xml:space="preserve">minimum fade margin respectively maximum fade margin allowed </w:t>
      </w:r>
      <w:r>
        <w:rPr>
          <w:rFonts w:cs="Arial"/>
          <w:szCs w:val="20"/>
        </w:rPr>
        <w:t xml:space="preserve">was provided by CEPT administration in relation to a set of 4047 FS links (out of a total of </w:t>
      </w:r>
      <w:r w:rsidR="001D5DF4">
        <w:rPr>
          <w:rFonts w:cs="Arial"/>
          <w:szCs w:val="20"/>
        </w:rPr>
        <w:t>11738</w:t>
      </w:r>
      <w:r>
        <w:rPr>
          <w:rFonts w:cs="Arial"/>
          <w:szCs w:val="20"/>
        </w:rPr>
        <w:t xml:space="preserve">). For </w:t>
      </w:r>
      <w:r w:rsidR="00DE624B">
        <w:rPr>
          <w:rFonts w:cs="Arial"/>
          <w:szCs w:val="20"/>
        </w:rPr>
        <w:t>two thirds</w:t>
      </w:r>
      <w:r>
        <w:rPr>
          <w:rFonts w:cs="Arial"/>
          <w:szCs w:val="20"/>
        </w:rPr>
        <w:t xml:space="preserve"> of the FS links this information was not available. Further details are shown in the following figures with reference to </w:t>
      </w:r>
      <w:r w:rsidR="001B2C40">
        <w:rPr>
          <w:rFonts w:cs="Arial"/>
          <w:szCs w:val="20"/>
        </w:rPr>
        <w:t xml:space="preserve">both </w:t>
      </w:r>
      <w:r>
        <w:rPr>
          <w:rFonts w:cs="Arial"/>
          <w:szCs w:val="20"/>
        </w:rPr>
        <w:t>the number and percentage of FS links.</w:t>
      </w:r>
    </w:p>
    <w:p w:rsidR="00E768B0" w:rsidRPr="001B2C40" w:rsidRDefault="001B2C40" w:rsidP="004B16DC">
      <w:pPr>
        <w:rPr>
          <w:rFonts w:cs="Arial"/>
          <w:szCs w:val="20"/>
        </w:rPr>
      </w:pPr>
      <w:r>
        <w:rPr>
          <w:rFonts w:cs="Arial"/>
          <w:szCs w:val="20"/>
        </w:rPr>
        <w:t xml:space="preserve">In addition Spain and </w:t>
      </w:r>
      <w:r w:rsidR="00412091">
        <w:rPr>
          <w:rFonts w:cs="Arial"/>
          <w:szCs w:val="20"/>
        </w:rPr>
        <w:t>Greece informed that there are no restrictions in relation to the fade margin</w:t>
      </w:r>
      <w:r>
        <w:rPr>
          <w:rFonts w:cs="Arial"/>
          <w:szCs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8"/>
        <w:gridCol w:w="7446"/>
      </w:tblGrid>
      <w:tr w:rsidR="00141BD3" w:rsidTr="00ED6334">
        <w:tc>
          <w:tcPr>
            <w:tcW w:w="7059" w:type="dxa"/>
          </w:tcPr>
          <w:p w:rsidR="00141BD3" w:rsidRDefault="008E1EC0" w:rsidP="00536AE8">
            <w:pPr>
              <w:rPr>
                <w:rFonts w:cs="Arial"/>
                <w:szCs w:val="20"/>
              </w:rPr>
            </w:pPr>
            <w:r>
              <w:rPr>
                <w:rFonts w:cs="Arial"/>
                <w:noProof/>
                <w:szCs w:val="20"/>
                <w:lang w:val="en-US"/>
              </w:rPr>
              <w:drawing>
                <wp:inline distT="0" distB="0" distL="0" distR="0" wp14:anchorId="393F92C5" wp14:editId="56EE6476">
                  <wp:extent cx="4298950" cy="2869412"/>
                  <wp:effectExtent l="0" t="0" r="635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04065" cy="2872826"/>
                          </a:xfrm>
                          <a:prstGeom prst="rect">
                            <a:avLst/>
                          </a:prstGeom>
                          <a:noFill/>
                        </pic:spPr>
                      </pic:pic>
                    </a:graphicData>
                  </a:graphic>
                </wp:inline>
              </w:drawing>
            </w:r>
          </w:p>
        </w:tc>
        <w:tc>
          <w:tcPr>
            <w:tcW w:w="7445" w:type="dxa"/>
          </w:tcPr>
          <w:p w:rsidR="00141BD3" w:rsidRDefault="008E1EC0" w:rsidP="00536AE8">
            <w:pPr>
              <w:rPr>
                <w:rFonts w:cs="Arial"/>
                <w:szCs w:val="20"/>
              </w:rPr>
            </w:pPr>
            <w:r>
              <w:rPr>
                <w:rFonts w:cs="Arial"/>
                <w:noProof/>
                <w:szCs w:val="20"/>
                <w:lang w:val="en-US"/>
              </w:rPr>
              <w:drawing>
                <wp:inline distT="0" distB="0" distL="0" distR="0" wp14:anchorId="70E9AE3F">
                  <wp:extent cx="4582093" cy="2895764"/>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91271" cy="2901564"/>
                          </a:xfrm>
                          <a:prstGeom prst="rect">
                            <a:avLst/>
                          </a:prstGeom>
                          <a:noFill/>
                        </pic:spPr>
                      </pic:pic>
                    </a:graphicData>
                  </a:graphic>
                </wp:inline>
              </w:drawing>
            </w:r>
          </w:p>
        </w:tc>
      </w:tr>
    </w:tbl>
    <w:p w:rsidR="00ED6334" w:rsidRDefault="00ED6334" w:rsidP="00ED6334">
      <w:pPr>
        <w:rPr>
          <w:rFonts w:cs="Arial"/>
          <w:szCs w:val="20"/>
        </w:rPr>
      </w:pPr>
      <w:r>
        <w:rPr>
          <w:rFonts w:cs="Arial"/>
          <w:szCs w:val="20"/>
        </w:rPr>
        <w:t>Additional information under question 7:</w:t>
      </w:r>
    </w:p>
    <w:tbl>
      <w:tblPr>
        <w:tblStyle w:val="Question-group-table"/>
        <w:tblW w:w="0" w:type="auto"/>
        <w:tblCellSpacing w:w="15" w:type="dxa"/>
        <w:tblInd w:w="165" w:type="dxa"/>
        <w:tblLayout w:type="fixed"/>
        <w:tblCellMar>
          <w:top w:w="15" w:type="dxa"/>
          <w:left w:w="15" w:type="dxa"/>
          <w:bottom w:w="15" w:type="dxa"/>
          <w:right w:w="15" w:type="dxa"/>
        </w:tblCellMar>
        <w:tblLook w:val="04A0" w:firstRow="1" w:lastRow="0" w:firstColumn="1" w:lastColumn="0" w:noHBand="0" w:noVBand="1"/>
      </w:tblPr>
      <w:tblGrid>
        <w:gridCol w:w="2190"/>
        <w:gridCol w:w="12323"/>
      </w:tblGrid>
      <w:tr w:rsidR="00ED6334" w:rsidTr="00ED6334">
        <w:trPr>
          <w:tblCellSpacing w:w="15" w:type="dxa"/>
        </w:trPr>
        <w:tc>
          <w:tcPr>
            <w:tcW w:w="214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334" w:rsidRDefault="00ED6334" w:rsidP="00F53A05">
            <w:r>
              <w:rPr>
                <w:rFonts w:ascii="Verdana" w:eastAsia="Verdana" w:hAnsi="Verdana" w:cs="Verdana"/>
                <w:sz w:val="18"/>
                <w:szCs w:val="18"/>
                <w:bdr w:val="nil"/>
              </w:rPr>
              <w:t>The Netherlands</w:t>
            </w:r>
          </w:p>
        </w:tc>
        <w:tc>
          <w:tcPr>
            <w:tcW w:w="1227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334" w:rsidRDefault="00ED6334" w:rsidP="00F53A05">
            <w:r>
              <w:rPr>
                <w:rFonts w:ascii="Verdana" w:eastAsia="Verdana" w:hAnsi="Verdana" w:cs="Verdana"/>
                <w:sz w:val="18"/>
                <w:szCs w:val="18"/>
                <w:bdr w:val="nil"/>
              </w:rPr>
              <w:t>Fade Margin is calculated, depending on the path length of the radio-link.</w:t>
            </w:r>
          </w:p>
        </w:tc>
      </w:tr>
      <w:tr w:rsidR="00ED6334" w:rsidTr="00ED6334">
        <w:trPr>
          <w:tblCellSpacing w:w="15" w:type="dxa"/>
        </w:trPr>
        <w:tc>
          <w:tcPr>
            <w:tcW w:w="2145"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p w:rsidR="00ED6334" w:rsidRDefault="00ED6334" w:rsidP="00F53A05">
            <w:r>
              <w:rPr>
                <w:rFonts w:ascii="Verdana" w:eastAsia="Verdana" w:hAnsi="Verdana" w:cs="Verdana"/>
                <w:sz w:val="18"/>
                <w:szCs w:val="18"/>
                <w:bdr w:val="nil"/>
              </w:rPr>
              <w:t xml:space="preserve">Switzerland </w:t>
            </w:r>
          </w:p>
        </w:tc>
        <w:tc>
          <w:tcPr>
            <w:tcW w:w="12278" w:type="dxa"/>
            <w:tcBorders>
              <w:top w:val="single" w:sz="6" w:space="0" w:color="AAAAAA"/>
              <w:left w:val="single" w:sz="6" w:space="0" w:color="AAAAAA"/>
              <w:bottom w:val="single" w:sz="6" w:space="0" w:color="AAAAAA"/>
              <w:right w:val="single" w:sz="6" w:space="0" w:color="AAAAAA"/>
            </w:tcBorders>
            <w:tcMar>
              <w:top w:w="90" w:type="dxa"/>
              <w:left w:w="150" w:type="dxa"/>
              <w:bottom w:w="90" w:type="dxa"/>
              <w:right w:w="150" w:type="dxa"/>
            </w:tcMar>
          </w:tcPr>
          <w:tbl>
            <w:tblPr>
              <w:tblStyle w:val="Question-group-table"/>
              <w:tblW w:w="14513" w:type="dxa"/>
              <w:tblInd w:w="0" w:type="dxa"/>
              <w:tblLayout w:type="fixed"/>
              <w:tblLook w:val="04A0" w:firstRow="1" w:lastRow="0" w:firstColumn="1" w:lastColumn="0" w:noHBand="0" w:noVBand="1"/>
            </w:tblPr>
            <w:tblGrid>
              <w:gridCol w:w="14513"/>
            </w:tblGrid>
            <w:tr w:rsidR="00ED6334" w:rsidTr="00ED6334">
              <w:tc>
                <w:tcPr>
                  <w:tcW w:w="13043" w:type="dxa"/>
                </w:tcPr>
                <w:p w:rsidR="00ED6334" w:rsidRDefault="00ED6334" w:rsidP="00F53A05">
                  <w:r>
                    <w:rPr>
                      <w:rFonts w:ascii="Verdana" w:eastAsia="Verdana" w:hAnsi="Verdana" w:cs="Verdana"/>
                      <w:sz w:val="18"/>
                      <w:szCs w:val="18"/>
                      <w:bdr w:val="nil"/>
                    </w:rPr>
                    <w:t xml:space="preserve">Note: Nominal RX input level = - 50 </w:t>
                  </w:r>
                  <w:proofErr w:type="spellStart"/>
                  <w:r>
                    <w:rPr>
                      <w:rFonts w:ascii="Verdana" w:eastAsia="Verdana" w:hAnsi="Verdana" w:cs="Verdana"/>
                      <w:sz w:val="18"/>
                      <w:szCs w:val="18"/>
                      <w:bdr w:val="nil"/>
                    </w:rPr>
                    <w:t>dBm</w:t>
                  </w:r>
                  <w:proofErr w:type="spellEnd"/>
                  <w:r>
                    <w:rPr>
                      <w:rFonts w:ascii="Verdana" w:eastAsia="Verdana" w:hAnsi="Verdana" w:cs="Verdana"/>
                      <w:sz w:val="18"/>
                      <w:szCs w:val="18"/>
                      <w:bdr w:val="nil"/>
                    </w:rPr>
                    <w:t xml:space="preserve">, </w:t>
                  </w:r>
                  <w:r>
                    <w:rPr>
                      <w:rFonts w:ascii="Verdana" w:eastAsia="Verdana" w:hAnsi="Verdana" w:cs="Verdana"/>
                      <w:sz w:val="18"/>
                      <w:szCs w:val="18"/>
                      <w:bdr w:val="nil"/>
                    </w:rPr>
                    <w:br/>
                    <w:t xml:space="preserve">RX input level tolerance: +1 (for long links) to -10 dB (for short links) with min. ATPC TX output power under clear sky conditions. </w:t>
                  </w:r>
                </w:p>
              </w:tc>
            </w:tr>
            <w:tr w:rsidR="00ED6334" w:rsidTr="00ED6334">
              <w:tc>
                <w:tcPr>
                  <w:tcW w:w="13043" w:type="dxa"/>
                </w:tcPr>
                <w:p w:rsidR="00ED6334" w:rsidRDefault="00ED6334" w:rsidP="00F53A05">
                  <w:r>
                    <w:rPr>
                      <w:rFonts w:ascii="Verdana" w:eastAsia="Verdana" w:hAnsi="Verdana" w:cs="Verdana"/>
                      <w:sz w:val="18"/>
                      <w:szCs w:val="18"/>
                      <w:bdr w:val="nil"/>
                    </w:rPr>
                    <w:t xml:space="preserve">18 </w:t>
                  </w:r>
                  <w:proofErr w:type="spellStart"/>
                  <w:r>
                    <w:rPr>
                      <w:rFonts w:ascii="Verdana" w:eastAsia="Verdana" w:hAnsi="Verdana" w:cs="Verdana"/>
                      <w:sz w:val="18"/>
                      <w:szCs w:val="18"/>
                      <w:bdr w:val="nil"/>
                    </w:rPr>
                    <w:t>dBm</w:t>
                  </w:r>
                  <w:proofErr w:type="spellEnd"/>
                  <w:r>
                    <w:rPr>
                      <w:rFonts w:ascii="Verdana" w:eastAsia="Verdana" w:hAnsi="Verdana" w:cs="Verdana"/>
                      <w:sz w:val="18"/>
                      <w:szCs w:val="18"/>
                      <w:bdr w:val="nil"/>
                    </w:rPr>
                    <w:t xml:space="preserve"> </w:t>
                  </w:r>
                </w:p>
              </w:tc>
            </w:tr>
          </w:tbl>
          <w:p w:rsidR="00ED6334" w:rsidRDefault="00ED6334" w:rsidP="00F53A05"/>
        </w:tc>
      </w:tr>
    </w:tbl>
    <w:p w:rsidR="004B16DC" w:rsidRPr="00935E91" w:rsidRDefault="004B16DC">
      <w:pPr>
        <w:rPr>
          <w:rFonts w:cs="Arial"/>
          <w:b/>
          <w:szCs w:val="20"/>
        </w:rPr>
      </w:pPr>
      <w:r w:rsidRPr="00935E91">
        <w:rPr>
          <w:rFonts w:cs="Arial"/>
          <w:b/>
          <w:szCs w:val="20"/>
        </w:rPr>
        <w:br w:type="page"/>
      </w:r>
    </w:p>
    <w:p w:rsidR="0015283A" w:rsidRPr="00935E91" w:rsidRDefault="004B16DC" w:rsidP="004B16DC">
      <w:pPr>
        <w:rPr>
          <w:rFonts w:cs="Arial"/>
          <w:b/>
          <w:szCs w:val="20"/>
        </w:rPr>
      </w:pPr>
      <w:r w:rsidRPr="00935E91">
        <w:rPr>
          <w:rFonts w:cs="Arial"/>
          <w:b/>
          <w:szCs w:val="20"/>
        </w:rPr>
        <w:lastRenderedPageBreak/>
        <w:t>Question 8: What other usages should be considered in the frequency range 5925-6425 MHz? Please indicate which application(s) (e.g. Communications-based train control, satellite earth station, etc.), in which parts of the band, the geographical areas, the number of sites and other general radio characteristics.</w:t>
      </w:r>
    </w:p>
    <w:p w:rsidR="00C07F94" w:rsidRPr="00935E91" w:rsidRDefault="00C07F94" w:rsidP="004B16DC">
      <w:pPr>
        <w:rPr>
          <w:rFonts w:cs="Arial"/>
          <w:b/>
          <w:szCs w:val="20"/>
        </w:rPr>
      </w:pPr>
      <w:r w:rsidRPr="00935E91">
        <w:rPr>
          <w:rFonts w:cs="Arial"/>
          <w:b/>
          <w:szCs w:val="20"/>
        </w:rPr>
        <w:t>FSS</w:t>
      </w:r>
    </w:p>
    <w:p w:rsidR="00C07F94" w:rsidRPr="00935E91" w:rsidRDefault="0015283A" w:rsidP="004B16DC">
      <w:pPr>
        <w:rPr>
          <w:rFonts w:cs="Arial"/>
          <w:szCs w:val="20"/>
        </w:rPr>
      </w:pPr>
      <w:r w:rsidRPr="00935E91">
        <w:rPr>
          <w:rFonts w:cs="Arial"/>
          <w:szCs w:val="20"/>
        </w:rPr>
        <w:t xml:space="preserve">Some numbers </w:t>
      </w:r>
      <w:r w:rsidR="00EF0022" w:rsidRPr="00935E91">
        <w:rPr>
          <w:rFonts w:cs="Arial"/>
          <w:szCs w:val="20"/>
        </w:rPr>
        <w:t xml:space="preserve">for </w:t>
      </w:r>
      <w:r w:rsidRPr="00935E91">
        <w:rPr>
          <w:rFonts w:cs="Arial"/>
          <w:szCs w:val="20"/>
        </w:rPr>
        <w:t xml:space="preserve">FSS earth stations </w:t>
      </w:r>
      <w:r w:rsidR="00EF0022" w:rsidRPr="00935E91">
        <w:rPr>
          <w:rFonts w:cs="Arial"/>
          <w:szCs w:val="20"/>
        </w:rPr>
        <w:t>have been provided: Austria (6), Finland (‘only few’), France (120), Germany (15), Hungary (2), Latvia (2), Lithuania (1), Luxembourg (3 major sites), Portugal (8), Slovenia (2), Spain (9), Sweden (15)</w:t>
      </w:r>
      <w:r w:rsidR="00C07F94" w:rsidRPr="00935E91">
        <w:rPr>
          <w:rFonts w:cs="Arial"/>
          <w:szCs w:val="20"/>
        </w:rPr>
        <w:t>, Switzerland (1)</w:t>
      </w:r>
      <w:r w:rsidR="00DE624B" w:rsidRPr="00DE624B">
        <w:rPr>
          <w:rFonts w:cs="Arial"/>
          <w:szCs w:val="20"/>
        </w:rPr>
        <w:t xml:space="preserve"> </w:t>
      </w:r>
      <w:r w:rsidR="00DE624B">
        <w:rPr>
          <w:rFonts w:cs="Arial"/>
          <w:szCs w:val="20"/>
        </w:rPr>
        <w:t xml:space="preserve">and </w:t>
      </w:r>
      <w:r w:rsidR="00DE624B" w:rsidRPr="00935E91">
        <w:rPr>
          <w:rFonts w:cs="Arial"/>
          <w:szCs w:val="20"/>
        </w:rPr>
        <w:t>United Kingdom (</w:t>
      </w:r>
      <w:r w:rsidR="00010736">
        <w:rPr>
          <w:rFonts w:cs="Arial"/>
          <w:szCs w:val="20"/>
        </w:rPr>
        <w:t xml:space="preserve">approximatively </w:t>
      </w:r>
      <w:r w:rsidR="00DE624B">
        <w:rPr>
          <w:rFonts w:cs="Arial"/>
          <w:szCs w:val="20"/>
        </w:rPr>
        <w:t>9</w:t>
      </w:r>
      <w:r w:rsidR="00DE624B" w:rsidRPr="00935E91">
        <w:rPr>
          <w:rFonts w:cs="Arial"/>
          <w:szCs w:val="20"/>
        </w:rPr>
        <w:t>0)</w:t>
      </w:r>
      <w:r w:rsidR="00C07F94" w:rsidRPr="00935E91">
        <w:rPr>
          <w:rFonts w:cs="Arial"/>
          <w:szCs w:val="20"/>
        </w:rPr>
        <w:t>. In addition, there is considerable use by a higher number of FSS stations in the Russian Federation</w:t>
      </w:r>
      <w:r w:rsidR="00FD5982" w:rsidRPr="00935E91">
        <w:rPr>
          <w:rFonts w:cs="Arial"/>
          <w:szCs w:val="20"/>
        </w:rPr>
        <w:t xml:space="preserve"> (number unknown)</w:t>
      </w:r>
      <w:r w:rsidR="00C07F94" w:rsidRPr="00935E91">
        <w:rPr>
          <w:rFonts w:cs="Arial"/>
          <w:szCs w:val="20"/>
        </w:rPr>
        <w:t xml:space="preserve">. </w:t>
      </w:r>
    </w:p>
    <w:p w:rsidR="00450141" w:rsidRDefault="00EF0022" w:rsidP="004B16DC">
      <w:pPr>
        <w:rPr>
          <w:rFonts w:cs="Arial"/>
          <w:szCs w:val="20"/>
        </w:rPr>
      </w:pPr>
      <w:r w:rsidRPr="00935E91">
        <w:rPr>
          <w:rFonts w:cs="Arial"/>
          <w:szCs w:val="20"/>
        </w:rPr>
        <w:t>Some of these FSS earth stations are concentration at a limited number of FSS hub-stations/gateways. Some FSS use may actually be military</w:t>
      </w:r>
      <w:r w:rsidR="00153018" w:rsidRPr="00935E91">
        <w:rPr>
          <w:rFonts w:cs="Arial"/>
          <w:szCs w:val="20"/>
        </w:rPr>
        <w:t xml:space="preserve"> or governmental use on a national basis.</w:t>
      </w:r>
    </w:p>
    <w:p w:rsidR="00450141" w:rsidRPr="00935E91" w:rsidRDefault="00450141" w:rsidP="004B16DC">
      <w:pPr>
        <w:rPr>
          <w:rFonts w:cs="Arial"/>
          <w:szCs w:val="20"/>
        </w:rPr>
      </w:pPr>
      <w:r>
        <w:rPr>
          <w:rFonts w:cs="Arial"/>
          <w:szCs w:val="20"/>
        </w:rPr>
        <w:t xml:space="preserve">Information about the location of FSS earth stations has been provided, with different level of details, by Austria, Greece, Latvia, Luxembourg, Portugal, Russian Federation and Turkey. </w:t>
      </w:r>
    </w:p>
    <w:p w:rsidR="00C07F94" w:rsidRPr="00935E91" w:rsidRDefault="00C07F94" w:rsidP="004B16DC">
      <w:pPr>
        <w:rPr>
          <w:rFonts w:cs="Arial"/>
          <w:szCs w:val="20"/>
        </w:rPr>
      </w:pPr>
      <w:r w:rsidRPr="00935E91">
        <w:rPr>
          <w:rFonts w:cs="Arial"/>
          <w:szCs w:val="20"/>
        </w:rPr>
        <w:t>There are also 7 ESV networks notified to the Office (ECC/DEC</w:t>
      </w:r>
      <w:proofErr w:type="gramStart"/>
      <w:r w:rsidRPr="00935E91">
        <w:rPr>
          <w:rFonts w:cs="Arial"/>
          <w:szCs w:val="20"/>
        </w:rPr>
        <w:t>/(</w:t>
      </w:r>
      <w:proofErr w:type="gramEnd"/>
      <w:r w:rsidRPr="00935E91">
        <w:rPr>
          <w:rFonts w:cs="Arial"/>
          <w:szCs w:val="20"/>
        </w:rPr>
        <w:t>06)09).</w:t>
      </w:r>
    </w:p>
    <w:p w:rsidR="00FE534F" w:rsidRPr="00935E91" w:rsidRDefault="00FE534F" w:rsidP="00FE534F">
      <w:pPr>
        <w:rPr>
          <w:rFonts w:cs="Arial"/>
          <w:szCs w:val="20"/>
        </w:rPr>
      </w:pPr>
      <w:r w:rsidRPr="00935E91">
        <w:rPr>
          <w:rFonts w:cs="Arial"/>
          <w:szCs w:val="20"/>
        </w:rPr>
        <w:t xml:space="preserve">There are </w:t>
      </w:r>
      <w:r w:rsidRPr="00935E91">
        <w:rPr>
          <w:rFonts w:cs="Arial"/>
          <w:b/>
          <w:szCs w:val="20"/>
        </w:rPr>
        <w:t>passive sensors (satellite)</w:t>
      </w:r>
      <w:r w:rsidRPr="00935E91">
        <w:rPr>
          <w:rFonts w:cs="Arial"/>
          <w:szCs w:val="20"/>
        </w:rPr>
        <w:t xml:space="preserve"> used for sea surface temperature, sea surface wind speed and soil moisture measurements</w:t>
      </w:r>
      <w:r w:rsidR="00153018" w:rsidRPr="00935E91">
        <w:rPr>
          <w:rFonts w:cs="Arial"/>
          <w:szCs w:val="20"/>
        </w:rPr>
        <w:t>.</w:t>
      </w:r>
    </w:p>
    <w:p w:rsidR="00C07F94" w:rsidRPr="00935E91" w:rsidRDefault="00C07F94" w:rsidP="004B16DC">
      <w:pPr>
        <w:rPr>
          <w:rFonts w:cs="Arial"/>
          <w:b/>
          <w:szCs w:val="20"/>
        </w:rPr>
      </w:pPr>
      <w:r w:rsidRPr="00935E91">
        <w:rPr>
          <w:rFonts w:cs="Arial"/>
          <w:b/>
          <w:szCs w:val="20"/>
        </w:rPr>
        <w:t>Urban Rail CBTC</w:t>
      </w:r>
    </w:p>
    <w:p w:rsidR="006154B7" w:rsidRDefault="00C07F94" w:rsidP="004B16DC">
      <w:pPr>
        <w:rPr>
          <w:rFonts w:cs="Arial"/>
          <w:szCs w:val="20"/>
        </w:rPr>
      </w:pPr>
      <w:r w:rsidRPr="00935E91">
        <w:rPr>
          <w:rFonts w:cs="Arial"/>
          <w:szCs w:val="20"/>
        </w:rPr>
        <w:t>Used in metropolitan cities in France (5915-5935 MHz) and Denmark (up to 5975 MHz)</w:t>
      </w:r>
      <w:r w:rsidR="006154B7">
        <w:rPr>
          <w:rFonts w:cs="Arial"/>
          <w:szCs w:val="20"/>
        </w:rPr>
        <w:t>.</w:t>
      </w:r>
      <w:r w:rsidRPr="00935E91">
        <w:rPr>
          <w:rFonts w:cs="Arial"/>
          <w:szCs w:val="20"/>
        </w:rPr>
        <w:t xml:space="preserve"> </w:t>
      </w:r>
    </w:p>
    <w:p w:rsidR="00C07F94" w:rsidRPr="00935E91" w:rsidRDefault="006154B7" w:rsidP="004B16DC">
      <w:pPr>
        <w:rPr>
          <w:rFonts w:cs="Arial"/>
          <w:szCs w:val="20"/>
        </w:rPr>
      </w:pPr>
      <w:r>
        <w:rPr>
          <w:rFonts w:cs="Arial"/>
          <w:szCs w:val="20"/>
        </w:rPr>
        <w:t>France reported of several metro lines equipped in Paris and about many new projects ongoing.</w:t>
      </w:r>
    </w:p>
    <w:p w:rsidR="00C07F94" w:rsidRPr="00935E91" w:rsidRDefault="00C07F94" w:rsidP="004B16DC">
      <w:pPr>
        <w:rPr>
          <w:rFonts w:cs="Arial"/>
          <w:szCs w:val="20"/>
        </w:rPr>
      </w:pPr>
      <w:r w:rsidRPr="00935E91">
        <w:rPr>
          <w:rFonts w:cs="Arial"/>
          <w:b/>
          <w:szCs w:val="20"/>
        </w:rPr>
        <w:t>License-exempt use</w:t>
      </w:r>
      <w:r w:rsidRPr="00935E91">
        <w:rPr>
          <w:rFonts w:cs="Arial"/>
          <w:szCs w:val="20"/>
        </w:rPr>
        <w:t xml:space="preserve"> as covered by UWB (EC Decision for UWB and Rec. 70-03) and SRD (EC DEC for SRD and Rec. 70-03) has been mentioned. </w:t>
      </w:r>
    </w:p>
    <w:p w:rsidR="00153018" w:rsidRPr="00935E91" w:rsidRDefault="00153018" w:rsidP="004B16DC">
      <w:pPr>
        <w:rPr>
          <w:rFonts w:cs="Arial"/>
          <w:szCs w:val="20"/>
        </w:rPr>
      </w:pPr>
      <w:proofErr w:type="gramStart"/>
      <w:r w:rsidRPr="00935E91">
        <w:rPr>
          <w:rFonts w:cs="Arial"/>
          <w:szCs w:val="20"/>
        </w:rPr>
        <w:t xml:space="preserve">Some </w:t>
      </w:r>
      <w:r w:rsidRPr="00935E91">
        <w:rPr>
          <w:rFonts w:cs="Arial"/>
          <w:b/>
          <w:szCs w:val="20"/>
        </w:rPr>
        <w:t>ENG/OB links</w:t>
      </w:r>
      <w:r w:rsidRPr="00935E91">
        <w:rPr>
          <w:rFonts w:cs="Arial"/>
          <w:szCs w:val="20"/>
        </w:rPr>
        <w:t xml:space="preserve"> used as reported by Greece.</w:t>
      </w:r>
      <w:proofErr w:type="gramEnd"/>
      <w:r w:rsidR="005B3562" w:rsidRPr="00935E91">
        <w:rPr>
          <w:rFonts w:cs="Arial"/>
          <w:szCs w:val="20"/>
        </w:rPr>
        <w:t xml:space="preserve"> </w:t>
      </w:r>
      <w:r w:rsidRPr="00935E91">
        <w:rPr>
          <w:rFonts w:cs="Arial"/>
          <w:szCs w:val="20"/>
        </w:rPr>
        <w:t>They may have been counted for some other countries as FS (question 8 is about ‘other use</w:t>
      </w:r>
      <w:r w:rsidR="004E4164">
        <w:rPr>
          <w:rFonts w:cs="Arial"/>
          <w:szCs w:val="20"/>
        </w:rPr>
        <w:t>´</w:t>
      </w:r>
      <w:r w:rsidRPr="00935E91">
        <w:rPr>
          <w:rFonts w:cs="Arial"/>
          <w:szCs w:val="20"/>
        </w:rPr>
        <w:t>).</w:t>
      </w:r>
      <w:r w:rsidR="005B3562" w:rsidRPr="00935E91">
        <w:rPr>
          <w:rFonts w:cs="Arial"/>
          <w:szCs w:val="20"/>
        </w:rPr>
        <w:t xml:space="preserve"> Italy has also ENG/OB in their frequency utilisation plan. In the Russian Federation, the band 5925-6425 MHz is heavily used by </w:t>
      </w:r>
      <w:r w:rsidR="005B3562" w:rsidRPr="00935E91">
        <w:rPr>
          <w:rFonts w:cs="Arial"/>
          <w:b/>
          <w:szCs w:val="20"/>
        </w:rPr>
        <w:t>fixed wireless access systems</w:t>
      </w:r>
      <w:r w:rsidR="005B3562" w:rsidRPr="00935E91">
        <w:rPr>
          <w:rFonts w:cs="Arial"/>
          <w:szCs w:val="20"/>
        </w:rPr>
        <w:t xml:space="preserve"> (P-P, P-MP) (may also be counted by other administrations under FS).</w:t>
      </w:r>
    </w:p>
    <w:p w:rsidR="00153018" w:rsidRPr="00935E91" w:rsidRDefault="00153018" w:rsidP="004B16DC">
      <w:pPr>
        <w:rPr>
          <w:rFonts w:cs="Arial"/>
          <w:szCs w:val="20"/>
        </w:rPr>
      </w:pPr>
    </w:p>
    <w:p w:rsidR="001B0D52" w:rsidRPr="00935E91" w:rsidRDefault="001B0D52" w:rsidP="004B16DC">
      <w:pPr>
        <w:rPr>
          <w:rFonts w:cs="Arial"/>
          <w:b/>
          <w:szCs w:val="20"/>
        </w:rPr>
      </w:pPr>
      <w:r w:rsidRPr="00935E91">
        <w:rPr>
          <w:rFonts w:cs="Arial"/>
          <w:b/>
          <w:szCs w:val="20"/>
        </w:rPr>
        <w:br w:type="page"/>
      </w:r>
    </w:p>
    <w:p w:rsidR="006A1FF9" w:rsidRPr="006D6A5E" w:rsidRDefault="006A1FF9" w:rsidP="008139EE">
      <w:pPr>
        <w:pStyle w:val="Questionarie-instance"/>
        <w:keepLines/>
        <w:rPr>
          <w:rFonts w:ascii="Arial" w:hAnsi="Arial" w:cs="Arial"/>
          <w:sz w:val="20"/>
          <w:szCs w:val="20"/>
          <w:lang w:val="en-GB"/>
        </w:rPr>
      </w:pPr>
    </w:p>
    <w:p w:rsidR="004B16DC" w:rsidRPr="00326E9B" w:rsidRDefault="004B16DC" w:rsidP="008139EE">
      <w:pPr>
        <w:pStyle w:val="ListParagraph"/>
        <w:numPr>
          <w:ilvl w:val="0"/>
          <w:numId w:val="15"/>
        </w:numPr>
        <w:spacing w:before="0" w:after="120" w:line="276" w:lineRule="auto"/>
        <w:jc w:val="left"/>
        <w:rPr>
          <w:rFonts w:cs="Arial"/>
          <w:b/>
          <w:szCs w:val="20"/>
        </w:rPr>
      </w:pPr>
      <w:r w:rsidRPr="00BC3779">
        <w:rPr>
          <w:rFonts w:cs="Arial"/>
          <w:b/>
          <w:szCs w:val="20"/>
        </w:rPr>
        <w:t>Information in EFIS</w:t>
      </w:r>
    </w:p>
    <w:p w:rsidR="0015283A" w:rsidRDefault="0015283A" w:rsidP="0015283A">
      <w:pPr>
        <w:spacing w:before="0" w:after="120" w:line="276" w:lineRule="auto"/>
        <w:jc w:val="left"/>
        <w:rPr>
          <w:rFonts w:cs="Arial"/>
          <w:szCs w:val="20"/>
        </w:rPr>
      </w:pPr>
      <w:r w:rsidRPr="00326E9B">
        <w:rPr>
          <w:rFonts w:cs="Arial"/>
          <w:szCs w:val="20"/>
        </w:rPr>
        <w:t>The information in EFIS for ECO Report 04 has been updated by the Office.</w:t>
      </w:r>
    </w:p>
    <w:p w:rsidR="00733B8A" w:rsidRPr="00326E9B" w:rsidRDefault="00733B8A" w:rsidP="0015283A">
      <w:pPr>
        <w:spacing w:before="0" w:after="120" w:line="276" w:lineRule="auto"/>
        <w:jc w:val="left"/>
        <w:rPr>
          <w:rFonts w:cs="Arial"/>
          <w:szCs w:val="20"/>
        </w:rPr>
      </w:pPr>
      <w:r>
        <w:rPr>
          <w:rFonts w:cs="Arial"/>
          <w:szCs w:val="20"/>
        </w:rPr>
        <w:t xml:space="preserve">Information about fixed service implementation over the whole range 5925-6425 MHz is available for the following countries which have not provided a response to the questionnaire: Croatia, Cyprus, Moldova, Poland, Romania and Serbia. This means that the total number of FS links over Europe could be somewhat higher in 5925-6425 </w:t>
      </w:r>
      <w:proofErr w:type="spellStart"/>
      <w:r>
        <w:rPr>
          <w:rFonts w:cs="Arial"/>
          <w:szCs w:val="20"/>
        </w:rPr>
        <w:t>MHz.</w:t>
      </w:r>
      <w:proofErr w:type="spellEnd"/>
    </w:p>
    <w:p w:rsidR="004B16DC" w:rsidRPr="00326E9B" w:rsidRDefault="004B16DC">
      <w:pPr>
        <w:rPr>
          <w:rFonts w:cs="Arial"/>
          <w:b/>
          <w:szCs w:val="20"/>
        </w:rPr>
      </w:pPr>
      <w:r w:rsidRPr="00326E9B">
        <w:rPr>
          <w:rFonts w:cs="Arial"/>
          <w:b/>
          <w:szCs w:val="20"/>
        </w:rPr>
        <w:br w:type="page"/>
      </w:r>
    </w:p>
    <w:p w:rsidR="004B16DC" w:rsidRPr="00ED6DB7" w:rsidRDefault="004B16DC" w:rsidP="004B16DC">
      <w:pPr>
        <w:spacing w:before="0" w:after="120" w:line="276" w:lineRule="auto"/>
        <w:jc w:val="left"/>
        <w:rPr>
          <w:rFonts w:cs="Arial"/>
          <w:b/>
          <w:szCs w:val="20"/>
        </w:rPr>
      </w:pPr>
    </w:p>
    <w:p w:rsidR="004B16DC" w:rsidRPr="00935E91" w:rsidRDefault="004B16DC" w:rsidP="008139EE">
      <w:pPr>
        <w:pStyle w:val="ListParagraph"/>
        <w:numPr>
          <w:ilvl w:val="0"/>
          <w:numId w:val="15"/>
        </w:numPr>
        <w:spacing w:before="0" w:after="120" w:line="276" w:lineRule="auto"/>
        <w:jc w:val="left"/>
        <w:rPr>
          <w:rFonts w:cs="Arial"/>
          <w:b/>
          <w:szCs w:val="20"/>
        </w:rPr>
      </w:pPr>
      <w:r w:rsidRPr="006D5611">
        <w:rPr>
          <w:rFonts w:cs="Arial"/>
          <w:b/>
          <w:szCs w:val="20"/>
        </w:rPr>
        <w:t>ECC Report 173</w:t>
      </w:r>
    </w:p>
    <w:p w:rsidR="004B16DC" w:rsidRPr="00BC3779" w:rsidRDefault="005B3562" w:rsidP="008934DB">
      <w:pPr>
        <w:spacing w:before="0" w:after="120" w:line="276" w:lineRule="auto"/>
        <w:jc w:val="left"/>
        <w:rPr>
          <w:rFonts w:cs="Arial"/>
          <w:szCs w:val="20"/>
        </w:rPr>
      </w:pPr>
      <w:r w:rsidRPr="00935E91">
        <w:rPr>
          <w:rFonts w:cs="Arial"/>
          <w:szCs w:val="20"/>
        </w:rPr>
        <w:t xml:space="preserve">The data received under this questionnaire seems to be consistent with the information in ECC Report 173, especially with regard to the overall usage in Europe (approximate number of FS links), link </w:t>
      </w:r>
      <w:r w:rsidR="008934DB" w:rsidRPr="00935E91">
        <w:rPr>
          <w:rFonts w:cs="Arial"/>
          <w:szCs w:val="20"/>
        </w:rPr>
        <w:t xml:space="preserve">hop </w:t>
      </w:r>
      <w:r w:rsidRPr="00935E91">
        <w:rPr>
          <w:rFonts w:cs="Arial"/>
          <w:szCs w:val="20"/>
        </w:rPr>
        <w:t>lengths</w:t>
      </w:r>
      <w:r w:rsidR="008934DB" w:rsidRPr="00935E91">
        <w:rPr>
          <w:rFonts w:cs="Arial"/>
          <w:szCs w:val="20"/>
        </w:rPr>
        <w:t xml:space="preserve"> etc.</w:t>
      </w:r>
      <w:r w:rsidRPr="00935E91">
        <w:rPr>
          <w:rFonts w:cs="Arial"/>
          <w:szCs w:val="20"/>
        </w:rPr>
        <w:t xml:space="preserve"> </w:t>
      </w:r>
    </w:p>
    <w:p w:rsidR="004B16DC" w:rsidRPr="00BC3779" w:rsidRDefault="004B16DC" w:rsidP="004B16DC">
      <w:pPr>
        <w:spacing w:before="0" w:after="120" w:line="276" w:lineRule="auto"/>
        <w:jc w:val="left"/>
        <w:rPr>
          <w:rFonts w:cs="Arial"/>
          <w:b/>
          <w:szCs w:val="20"/>
        </w:rPr>
      </w:pPr>
    </w:p>
    <w:p w:rsidR="008139EE" w:rsidRPr="00BC3779" w:rsidRDefault="008139EE" w:rsidP="00D550A3">
      <w:pPr>
        <w:spacing w:line="276" w:lineRule="auto"/>
        <w:ind w:left="360"/>
        <w:jc w:val="center"/>
        <w:rPr>
          <w:rStyle w:val="ECCParagraph"/>
          <w:rFonts w:cs="Arial"/>
          <w:szCs w:val="20"/>
        </w:rPr>
      </w:pPr>
      <w:r w:rsidRPr="00BC3779">
        <w:rPr>
          <w:rFonts w:cs="Arial"/>
          <w:szCs w:val="20"/>
        </w:rPr>
        <w:t>_________________</w:t>
      </w:r>
    </w:p>
    <w:sectPr w:rsidR="008139EE" w:rsidRPr="00BC3779" w:rsidSect="004B16DC">
      <w:pgSz w:w="16840" w:h="11907" w:orient="landscape" w:code="9"/>
      <w:pgMar w:top="1134" w:right="1418" w:bottom="992" w:left="1134" w:header="964" w:footer="964"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5DF4" w:rsidRDefault="001D5DF4" w:rsidP="00DB17F9">
      <w:r>
        <w:separator/>
      </w:r>
    </w:p>
    <w:p w:rsidR="001D5DF4" w:rsidRDefault="001D5DF4"/>
  </w:endnote>
  <w:endnote w:type="continuationSeparator" w:id="0">
    <w:p w:rsidR="001D5DF4" w:rsidRDefault="001D5DF4" w:rsidP="00DB17F9">
      <w:r>
        <w:continuationSeparator/>
      </w:r>
    </w:p>
    <w:p w:rsidR="001D5DF4" w:rsidRDefault="001D5D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DF4" w:rsidRDefault="001D5DF4" w:rsidP="00F043BF">
    <w:pPr>
      <w:pStyle w:val="Footer"/>
      <w:tabs>
        <w:tab w:val="clear" w:pos="4536"/>
        <w:tab w:val="clear" w:pos="9072"/>
        <w:tab w:val="right" w:pos="9781"/>
      </w:tabs>
      <w:rPr>
        <w:color w:val="0000FF"/>
        <w:sz w:val="14"/>
        <w:szCs w:val="14"/>
        <w:u w:val="single"/>
      </w:rPr>
    </w:pPr>
    <w:r>
      <w:rPr>
        <w:color w:val="0000FF"/>
        <w:sz w:val="14"/>
        <w:szCs w:val="14"/>
        <w:u w:val="single"/>
      </w:rPr>
      <w:tab/>
    </w:r>
  </w:p>
  <w:p w:rsidR="001D5DF4" w:rsidRDefault="001D5DF4">
    <w:pPr>
      <w:pStyle w:val="Footer"/>
      <w:jc w:val="right"/>
      <w:rPr>
        <w:color w:val="0000FF"/>
        <w:sz w:val="16"/>
        <w:szCs w:val="16"/>
      </w:rPr>
    </w:pPr>
    <w:r>
      <w:rPr>
        <w:color w:val="0000FF"/>
        <w:sz w:val="16"/>
        <w:szCs w:val="16"/>
      </w:rPr>
      <w:t xml:space="preserve">Page </w:t>
    </w:r>
    <w:r>
      <w:rPr>
        <w:rStyle w:val="PageNumber"/>
        <w:color w:val="0000FF"/>
        <w:sz w:val="18"/>
        <w:szCs w:val="18"/>
      </w:rPr>
      <w:fldChar w:fldCharType="begin"/>
    </w:r>
    <w:r>
      <w:rPr>
        <w:rStyle w:val="PageNumber"/>
        <w:color w:val="0000FF"/>
        <w:sz w:val="18"/>
        <w:szCs w:val="18"/>
      </w:rPr>
      <w:instrText xml:space="preserve"> PAGE </w:instrText>
    </w:r>
    <w:r>
      <w:rPr>
        <w:rStyle w:val="PageNumber"/>
        <w:color w:val="0000FF"/>
        <w:sz w:val="18"/>
        <w:szCs w:val="18"/>
      </w:rPr>
      <w:fldChar w:fldCharType="separate"/>
    </w:r>
    <w:r w:rsidR="00F84E83">
      <w:rPr>
        <w:rStyle w:val="PageNumber"/>
        <w:noProof/>
        <w:color w:val="0000FF"/>
        <w:sz w:val="18"/>
        <w:szCs w:val="18"/>
      </w:rPr>
      <w:t>12</w:t>
    </w:r>
    <w:r>
      <w:rPr>
        <w:rStyle w:val="PageNumber"/>
        <w:color w:val="0000FF"/>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DF4" w:rsidRDefault="001D5DF4" w:rsidP="00F043BF">
    <w:pPr>
      <w:pStyle w:val="Footer"/>
      <w:tabs>
        <w:tab w:val="clear" w:pos="9072"/>
        <w:tab w:val="right" w:pos="9781"/>
      </w:tabs>
      <w:rPr>
        <w:color w:val="0000FF"/>
        <w:sz w:val="14"/>
        <w:szCs w:val="14"/>
        <w:u w:val="single"/>
      </w:rPr>
    </w:pPr>
    <w:r>
      <w:rPr>
        <w:color w:val="0000FF"/>
        <w:sz w:val="14"/>
        <w:szCs w:val="14"/>
        <w:u w:val="single"/>
      </w:rPr>
      <w:tab/>
    </w:r>
    <w:r>
      <w:rPr>
        <w:color w:val="0000FF"/>
        <w:sz w:val="14"/>
        <w:szCs w:val="14"/>
        <w:u w:val="single"/>
      </w:rPr>
      <w:tab/>
    </w:r>
  </w:p>
  <w:p w:rsidR="001D5DF4" w:rsidRDefault="001D5DF4">
    <w:pPr>
      <w:pStyle w:val="Footer"/>
      <w:jc w:val="right"/>
    </w:pPr>
    <w:r>
      <w:rPr>
        <w:color w:val="0000FF"/>
        <w:sz w:val="16"/>
        <w:szCs w:val="16"/>
      </w:rPr>
      <w:t xml:space="preserve">Page </w:t>
    </w:r>
    <w:r>
      <w:rPr>
        <w:rStyle w:val="PageNumber"/>
        <w:color w:val="0000FF"/>
        <w:sz w:val="18"/>
        <w:szCs w:val="18"/>
      </w:rPr>
      <w:fldChar w:fldCharType="begin"/>
    </w:r>
    <w:r>
      <w:rPr>
        <w:rStyle w:val="PageNumber"/>
        <w:color w:val="0000FF"/>
        <w:sz w:val="18"/>
        <w:szCs w:val="18"/>
      </w:rPr>
      <w:instrText xml:space="preserve"> PAGE </w:instrText>
    </w:r>
    <w:r>
      <w:rPr>
        <w:rStyle w:val="PageNumber"/>
        <w:color w:val="0000FF"/>
        <w:sz w:val="18"/>
        <w:szCs w:val="18"/>
      </w:rPr>
      <w:fldChar w:fldCharType="separate"/>
    </w:r>
    <w:r w:rsidR="008E1EC0">
      <w:rPr>
        <w:rStyle w:val="PageNumber"/>
        <w:noProof/>
        <w:color w:val="0000FF"/>
        <w:sz w:val="18"/>
        <w:szCs w:val="18"/>
      </w:rPr>
      <w:t>4</w:t>
    </w:r>
    <w:r>
      <w:rPr>
        <w:rStyle w:val="PageNumber"/>
        <w:color w:val="0000F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5DF4" w:rsidRPr="00F51BD6" w:rsidRDefault="001D5DF4" w:rsidP="00CD07E7">
      <w:pPr>
        <w:spacing w:before="120" w:after="0"/>
      </w:pPr>
      <w:r>
        <w:separator/>
      </w:r>
    </w:p>
  </w:footnote>
  <w:footnote w:type="continuationSeparator" w:id="0">
    <w:p w:rsidR="001D5DF4" w:rsidRDefault="001D5DF4" w:rsidP="00CD07E7">
      <w:pPr>
        <w:spacing w:before="120" w:after="0"/>
      </w:pPr>
      <w:r>
        <w:continuationSeparator/>
      </w:r>
    </w:p>
  </w:footnote>
  <w:footnote w:type="continuationNotice" w:id="1">
    <w:p w:rsidR="001D5DF4" w:rsidRPr="00CD07E7" w:rsidRDefault="001D5DF4" w:rsidP="00CD07E7">
      <w:pPr>
        <w:spacing w:before="120" w:after="0"/>
      </w:pPr>
    </w:p>
  </w:footnote>
  <w:footnote w:id="2">
    <w:p w:rsidR="001D5DF4" w:rsidRPr="002F294D" w:rsidRDefault="001D5DF4">
      <w:pPr>
        <w:pStyle w:val="FootnoteText"/>
        <w:rPr>
          <w:lang w:val="en-US"/>
        </w:rPr>
      </w:pPr>
      <w:r>
        <w:rPr>
          <w:rStyle w:val="FootnoteReference"/>
        </w:rPr>
        <w:footnoteRef/>
      </w:r>
      <w:r w:rsidRPr="002F294D">
        <w:rPr>
          <w:lang w:val="en-US"/>
        </w:rPr>
        <w:t xml:space="preserve"> </w:t>
      </w:r>
      <w:r>
        <w:rPr>
          <w:lang w:val="en-US"/>
        </w:rPr>
        <w:t>Estonia, Luxembourg and Malta provided information although no FS link is deployed.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DF4" w:rsidRPr="00AD1BE1" w:rsidRDefault="001D5DF4"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w:t>
    </w:r>
    <w:r w:rsidRPr="00AD1BE1">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6" type="#_x0000_t75" style="width:225.5pt;height:59pt" o:bullet="t">
        <v:imagedata r:id="rId1" o:title="Editor's Note"/>
      </v:shape>
    </w:pict>
  </w:numPicBullet>
  <w:abstractNum w:abstractNumId="0">
    <w:nsid w:val="FFFFFFFB"/>
    <w:multiLevelType w:val="multilevel"/>
    <w:tmpl w:val="CF14ABC6"/>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E9038B"/>
    <w:multiLevelType w:val="hybridMultilevel"/>
    <w:tmpl w:val="22A2091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01537EB"/>
    <w:multiLevelType w:val="hybridMultilevel"/>
    <w:tmpl w:val="EA64AE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18A65D37"/>
    <w:multiLevelType w:val="hybridMultilevel"/>
    <w:tmpl w:val="8FB2373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20BE59BE"/>
    <w:multiLevelType w:val="hybridMultilevel"/>
    <w:tmpl w:val="32961C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2"/>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26606A55"/>
    <w:multiLevelType w:val="hybridMultilevel"/>
    <w:tmpl w:val="2B56FD94"/>
    <w:lvl w:ilvl="0" w:tplc="0409000F">
      <w:start w:val="1"/>
      <w:numFmt w:val="decimal"/>
      <w:lvlText w:val="%1."/>
      <w:lvlJc w:val="left"/>
      <w:pPr>
        <w:ind w:left="1060" w:hanging="360"/>
      </w:p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8">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331D2CAF"/>
    <w:multiLevelType w:val="multilevel"/>
    <w:tmpl w:val="C960DCD2"/>
    <w:lvl w:ilvl="0">
      <w:start w:val="1"/>
      <w:numFmt w:val="decimal"/>
      <w:pStyle w:val="ECCNumberedList"/>
      <w:lvlText w:val="%1"/>
      <w:lvlJc w:val="left"/>
      <w:pPr>
        <w:ind w:left="360" w:hanging="360"/>
      </w:pPr>
      <w:rPr>
        <w:rFonts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0">
    <w:nsid w:val="372B2EB2"/>
    <w:multiLevelType w:val="hybridMultilevel"/>
    <w:tmpl w:val="4B20972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3D163F7A"/>
    <w:multiLevelType w:val="multilevel"/>
    <w:tmpl w:val="C51432D8"/>
    <w:lvl w:ilvl="0">
      <w:start w:val="1"/>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40CC0BB9"/>
    <w:multiLevelType w:val="hybridMultilevel"/>
    <w:tmpl w:val="0EF40BFA"/>
    <w:lvl w:ilvl="0" w:tplc="2334F198">
      <w:start w:val="7983"/>
      <w:numFmt w:val="bullet"/>
      <w:lvlText w:val="-"/>
      <w:lvlJc w:val="left"/>
      <w:pPr>
        <w:ind w:left="720" w:hanging="360"/>
      </w:pPr>
      <w:rPr>
        <w:rFonts w:ascii="Arial" w:eastAsia="Calibri" w:hAnsi="Arial"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8E532EA"/>
    <w:multiLevelType w:val="hybridMultilevel"/>
    <w:tmpl w:val="5810E2A4"/>
    <w:lvl w:ilvl="0" w:tplc="20B4FF9A">
      <w:start w:val="1"/>
      <w:numFmt w:val="bullet"/>
      <w:lvlText w:val=""/>
      <w:lvlPicBulletId w:val="0"/>
      <w:lvlJc w:val="left"/>
      <w:pPr>
        <w:tabs>
          <w:tab w:val="num" w:pos="1559"/>
        </w:tabs>
        <w:ind w:left="1559" w:hanging="1559"/>
      </w:pPr>
      <w:rPr>
        <w:rFonts w:ascii="Symbol" w:hAnsi="Symbol" w:hint="default"/>
        <w:b w:val="0"/>
        <w:bCs w:val="0"/>
        <w:i w:val="0"/>
        <w:iCs w:val="0"/>
        <w:caps w:val="0"/>
        <w:smallCaps w:val="0"/>
        <w:strike w:val="0"/>
        <w:dstrike w:val="0"/>
        <w:outline w:val="0"/>
        <w:shadow w:val="0"/>
        <w:emboss w:val="0"/>
        <w:imprint w:val="0"/>
        <w:vanish w:val="0"/>
        <w:color w:val="auto"/>
        <w:spacing w:val="0"/>
        <w:kern w:val="0"/>
        <w:position w:val="0"/>
        <w:u w:val="none" w:color="FFFF00"/>
        <w:effect w:val="none"/>
        <w:vertAlign w:val="baseline"/>
        <w:em w:val="no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9BE4C9A"/>
    <w:multiLevelType w:val="multilevel"/>
    <w:tmpl w:val="8FA093E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pStyle w:val="ECCLetteredList"/>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6">
    <w:nsid w:val="560072EF"/>
    <w:multiLevelType w:val="hybridMultilevel"/>
    <w:tmpl w:val="BC883B30"/>
    <w:lvl w:ilvl="0" w:tplc="145EA790">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7">
    <w:nsid w:val="5E89010F"/>
    <w:multiLevelType w:val="multilevel"/>
    <w:tmpl w:val="8C10C03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67061CE1"/>
    <w:multiLevelType w:val="hybridMultilevel"/>
    <w:tmpl w:val="40D2411C"/>
    <w:lvl w:ilvl="0" w:tplc="59E4EEA8">
      <w:start w:val="10"/>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6"/>
  </w:num>
  <w:num w:numId="2">
    <w:abstractNumId w:val="2"/>
  </w:num>
  <w:num w:numId="3">
    <w:abstractNumId w:val="15"/>
  </w:num>
  <w:num w:numId="4">
    <w:abstractNumId w:val="9"/>
  </w:num>
  <w:num w:numId="5">
    <w:abstractNumId w:val="13"/>
  </w:num>
  <w:num w:numId="6">
    <w:abstractNumId w:val="11"/>
  </w:num>
  <w:num w:numId="7">
    <w:abstractNumId w:val="14"/>
  </w:num>
  <w:num w:numId="8">
    <w:abstractNumId w:val="8"/>
  </w:num>
  <w:num w:numId="9">
    <w:abstractNumId w:val="8"/>
  </w:num>
  <w:num w:numId="10">
    <w:abstractNumId w:val="0"/>
  </w:num>
  <w:num w:numId="11">
    <w:abstractNumId w:val="18"/>
  </w:num>
  <w:num w:numId="12">
    <w:abstractNumId w:val="4"/>
  </w:num>
  <w:num w:numId="13">
    <w:abstractNumId w:val="1"/>
  </w:num>
  <w:num w:numId="14">
    <w:abstractNumId w:val="10"/>
  </w:num>
  <w:num w:numId="15">
    <w:abstractNumId w:val="17"/>
  </w:num>
  <w:num w:numId="16">
    <w:abstractNumId w:val="3"/>
  </w:num>
  <w:num w:numId="17">
    <w:abstractNumId w:val="5"/>
  </w:num>
  <w:num w:numId="18">
    <w:abstractNumId w:val="12"/>
  </w:num>
  <w:num w:numId="19">
    <w:abstractNumId w:val="7"/>
  </w:num>
  <w:num w:numId="20">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documentProtection w:formatting="1" w:enforcement="0"/>
  <w:autoFormatOverride/>
  <w:styleLockQFSet/>
  <w:defaultTabStop w:val="567"/>
  <w:hyphenationZone w:val="425"/>
  <w:characterSpacingControl w:val="doNotCompress"/>
  <w:hdrShapeDefaults>
    <o:shapedefaults v:ext="edit" spidmax="2049">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5F50"/>
    <w:rsid w:val="00004FCC"/>
    <w:rsid w:val="00005B80"/>
    <w:rsid w:val="00010736"/>
    <w:rsid w:val="0001112E"/>
    <w:rsid w:val="00012E3B"/>
    <w:rsid w:val="00024B68"/>
    <w:rsid w:val="00041A18"/>
    <w:rsid w:val="0004622B"/>
    <w:rsid w:val="000478BF"/>
    <w:rsid w:val="00056497"/>
    <w:rsid w:val="000606F4"/>
    <w:rsid w:val="00067793"/>
    <w:rsid w:val="00080D4D"/>
    <w:rsid w:val="00081957"/>
    <w:rsid w:val="00082DD7"/>
    <w:rsid w:val="00093A7F"/>
    <w:rsid w:val="00095620"/>
    <w:rsid w:val="000A3940"/>
    <w:rsid w:val="000A77D1"/>
    <w:rsid w:val="000B6D45"/>
    <w:rsid w:val="000C028F"/>
    <w:rsid w:val="000C0D72"/>
    <w:rsid w:val="000C77E5"/>
    <w:rsid w:val="000D1710"/>
    <w:rsid w:val="000D43BB"/>
    <w:rsid w:val="000E31C4"/>
    <w:rsid w:val="000E3E4D"/>
    <w:rsid w:val="000E42F5"/>
    <w:rsid w:val="000F0594"/>
    <w:rsid w:val="000F0CA8"/>
    <w:rsid w:val="000F24F5"/>
    <w:rsid w:val="000F2ED9"/>
    <w:rsid w:val="001006CA"/>
    <w:rsid w:val="00100F8B"/>
    <w:rsid w:val="00102172"/>
    <w:rsid w:val="00110652"/>
    <w:rsid w:val="00141BD3"/>
    <w:rsid w:val="001526A2"/>
    <w:rsid w:val="0015283A"/>
    <w:rsid w:val="00153018"/>
    <w:rsid w:val="00154F16"/>
    <w:rsid w:val="00156314"/>
    <w:rsid w:val="00172548"/>
    <w:rsid w:val="00172B28"/>
    <w:rsid w:val="00181482"/>
    <w:rsid w:val="00183FE0"/>
    <w:rsid w:val="0018553F"/>
    <w:rsid w:val="001A01CA"/>
    <w:rsid w:val="001A1ED1"/>
    <w:rsid w:val="001A702C"/>
    <w:rsid w:val="001B0583"/>
    <w:rsid w:val="001B0D52"/>
    <w:rsid w:val="001B2C40"/>
    <w:rsid w:val="001C22D2"/>
    <w:rsid w:val="001C30A8"/>
    <w:rsid w:val="001D5DF4"/>
    <w:rsid w:val="001E38FB"/>
    <w:rsid w:val="0020079A"/>
    <w:rsid w:val="00206BC2"/>
    <w:rsid w:val="002156C5"/>
    <w:rsid w:val="00222F9E"/>
    <w:rsid w:val="002246F8"/>
    <w:rsid w:val="002302A9"/>
    <w:rsid w:val="00230DDC"/>
    <w:rsid w:val="00231A0F"/>
    <w:rsid w:val="00252C7C"/>
    <w:rsid w:val="00263FFB"/>
    <w:rsid w:val="00265F50"/>
    <w:rsid w:val="002678D5"/>
    <w:rsid w:val="00274F84"/>
    <w:rsid w:val="0027787F"/>
    <w:rsid w:val="0028060B"/>
    <w:rsid w:val="0028120C"/>
    <w:rsid w:val="00283417"/>
    <w:rsid w:val="00284ED0"/>
    <w:rsid w:val="00294B3D"/>
    <w:rsid w:val="00295827"/>
    <w:rsid w:val="00295F16"/>
    <w:rsid w:val="00296C44"/>
    <w:rsid w:val="002A033F"/>
    <w:rsid w:val="002A1D8A"/>
    <w:rsid w:val="002B4452"/>
    <w:rsid w:val="002B57F6"/>
    <w:rsid w:val="002B5E5F"/>
    <w:rsid w:val="002C6DC3"/>
    <w:rsid w:val="002C75AF"/>
    <w:rsid w:val="002D1FA9"/>
    <w:rsid w:val="002D50A3"/>
    <w:rsid w:val="002F294D"/>
    <w:rsid w:val="002F70E6"/>
    <w:rsid w:val="003007C0"/>
    <w:rsid w:val="00307A79"/>
    <w:rsid w:val="003204D5"/>
    <w:rsid w:val="00320ED0"/>
    <w:rsid w:val="00322E6A"/>
    <w:rsid w:val="00326E9B"/>
    <w:rsid w:val="003314A0"/>
    <w:rsid w:val="003423D6"/>
    <w:rsid w:val="003469AB"/>
    <w:rsid w:val="00364873"/>
    <w:rsid w:val="00365BAB"/>
    <w:rsid w:val="003730DF"/>
    <w:rsid w:val="003752AC"/>
    <w:rsid w:val="00381169"/>
    <w:rsid w:val="0038287C"/>
    <w:rsid w:val="0038358E"/>
    <w:rsid w:val="003876E4"/>
    <w:rsid w:val="00387DDE"/>
    <w:rsid w:val="003916CD"/>
    <w:rsid w:val="00391A01"/>
    <w:rsid w:val="003A0EB5"/>
    <w:rsid w:val="003A5711"/>
    <w:rsid w:val="003C64D9"/>
    <w:rsid w:val="003E2E42"/>
    <w:rsid w:val="003E3C25"/>
    <w:rsid w:val="003E5DD3"/>
    <w:rsid w:val="003E70E0"/>
    <w:rsid w:val="003F0E53"/>
    <w:rsid w:val="003F1701"/>
    <w:rsid w:val="00403CE6"/>
    <w:rsid w:val="004110CA"/>
    <w:rsid w:val="0041160E"/>
    <w:rsid w:val="00412091"/>
    <w:rsid w:val="004160E9"/>
    <w:rsid w:val="0042761F"/>
    <w:rsid w:val="00431162"/>
    <w:rsid w:val="0043465A"/>
    <w:rsid w:val="00441EE0"/>
    <w:rsid w:val="00443482"/>
    <w:rsid w:val="00450141"/>
    <w:rsid w:val="00450308"/>
    <w:rsid w:val="00453D74"/>
    <w:rsid w:val="00455081"/>
    <w:rsid w:val="00457AD1"/>
    <w:rsid w:val="00461912"/>
    <w:rsid w:val="0046427F"/>
    <w:rsid w:val="00467F44"/>
    <w:rsid w:val="00474FD2"/>
    <w:rsid w:val="00485665"/>
    <w:rsid w:val="00491977"/>
    <w:rsid w:val="004A1329"/>
    <w:rsid w:val="004B16DC"/>
    <w:rsid w:val="004C1A87"/>
    <w:rsid w:val="004C4945"/>
    <w:rsid w:val="004C4A2E"/>
    <w:rsid w:val="004E057E"/>
    <w:rsid w:val="004E4164"/>
    <w:rsid w:val="004E44C8"/>
    <w:rsid w:val="004E53BE"/>
    <w:rsid w:val="004E7F82"/>
    <w:rsid w:val="004F057A"/>
    <w:rsid w:val="004F3EA9"/>
    <w:rsid w:val="00501992"/>
    <w:rsid w:val="005026AC"/>
    <w:rsid w:val="00510AE7"/>
    <w:rsid w:val="00520EFD"/>
    <w:rsid w:val="005266EB"/>
    <w:rsid w:val="0053062A"/>
    <w:rsid w:val="00534429"/>
    <w:rsid w:val="00535050"/>
    <w:rsid w:val="00536AE8"/>
    <w:rsid w:val="00536F3C"/>
    <w:rsid w:val="0054260E"/>
    <w:rsid w:val="00550CCD"/>
    <w:rsid w:val="00550D79"/>
    <w:rsid w:val="005559AC"/>
    <w:rsid w:val="00555CFA"/>
    <w:rsid w:val="00555FB3"/>
    <w:rsid w:val="00557B5A"/>
    <w:rsid w:val="005611D0"/>
    <w:rsid w:val="00566BD4"/>
    <w:rsid w:val="00576411"/>
    <w:rsid w:val="00577CAF"/>
    <w:rsid w:val="00580223"/>
    <w:rsid w:val="00593582"/>
    <w:rsid w:val="00594186"/>
    <w:rsid w:val="00594A79"/>
    <w:rsid w:val="005A05D1"/>
    <w:rsid w:val="005A53B8"/>
    <w:rsid w:val="005A723E"/>
    <w:rsid w:val="005B202B"/>
    <w:rsid w:val="005B3562"/>
    <w:rsid w:val="005C10EB"/>
    <w:rsid w:val="005C2301"/>
    <w:rsid w:val="005C5A96"/>
    <w:rsid w:val="005D371D"/>
    <w:rsid w:val="005E7109"/>
    <w:rsid w:val="005E7495"/>
    <w:rsid w:val="005F5414"/>
    <w:rsid w:val="005F561B"/>
    <w:rsid w:val="00601C6B"/>
    <w:rsid w:val="006154B7"/>
    <w:rsid w:val="00621C12"/>
    <w:rsid w:val="00623E18"/>
    <w:rsid w:val="00625C5D"/>
    <w:rsid w:val="00626002"/>
    <w:rsid w:val="006305FD"/>
    <w:rsid w:val="00635A22"/>
    <w:rsid w:val="00642083"/>
    <w:rsid w:val="00644769"/>
    <w:rsid w:val="00647440"/>
    <w:rsid w:val="0065550D"/>
    <w:rsid w:val="00664295"/>
    <w:rsid w:val="00665364"/>
    <w:rsid w:val="00667316"/>
    <w:rsid w:val="00667B35"/>
    <w:rsid w:val="006713EB"/>
    <w:rsid w:val="00673A9B"/>
    <w:rsid w:val="0067787D"/>
    <w:rsid w:val="006834E0"/>
    <w:rsid w:val="006876A8"/>
    <w:rsid w:val="0069520F"/>
    <w:rsid w:val="006A1FF9"/>
    <w:rsid w:val="006A3B77"/>
    <w:rsid w:val="006A3D8B"/>
    <w:rsid w:val="006A49E3"/>
    <w:rsid w:val="006B129F"/>
    <w:rsid w:val="006B1EFD"/>
    <w:rsid w:val="006B21FD"/>
    <w:rsid w:val="006B7F54"/>
    <w:rsid w:val="006C1243"/>
    <w:rsid w:val="006C14E4"/>
    <w:rsid w:val="006C6DA8"/>
    <w:rsid w:val="006C6E75"/>
    <w:rsid w:val="006C7F61"/>
    <w:rsid w:val="006D407F"/>
    <w:rsid w:val="006D5611"/>
    <w:rsid w:val="006D6A5E"/>
    <w:rsid w:val="006E7EDE"/>
    <w:rsid w:val="006F0442"/>
    <w:rsid w:val="0070632A"/>
    <w:rsid w:val="00714F0F"/>
    <w:rsid w:val="007160BE"/>
    <w:rsid w:val="00722F65"/>
    <w:rsid w:val="007257CD"/>
    <w:rsid w:val="007322FA"/>
    <w:rsid w:val="00733B8A"/>
    <w:rsid w:val="00734A4F"/>
    <w:rsid w:val="007414C6"/>
    <w:rsid w:val="00762BCC"/>
    <w:rsid w:val="00763BA3"/>
    <w:rsid w:val="00765B66"/>
    <w:rsid w:val="00767BB2"/>
    <w:rsid w:val="00771520"/>
    <w:rsid w:val="0077159C"/>
    <w:rsid w:val="0077270E"/>
    <w:rsid w:val="007739EA"/>
    <w:rsid w:val="007760B0"/>
    <w:rsid w:val="00776D23"/>
    <w:rsid w:val="00780376"/>
    <w:rsid w:val="00780EE3"/>
    <w:rsid w:val="007831FC"/>
    <w:rsid w:val="00791AAC"/>
    <w:rsid w:val="00797D4C"/>
    <w:rsid w:val="00797DEE"/>
    <w:rsid w:val="007A3597"/>
    <w:rsid w:val="007A6FD5"/>
    <w:rsid w:val="007C019B"/>
    <w:rsid w:val="007C0E7E"/>
    <w:rsid w:val="007C21E2"/>
    <w:rsid w:val="007C4098"/>
    <w:rsid w:val="007D17C5"/>
    <w:rsid w:val="007D52EC"/>
    <w:rsid w:val="007E1A57"/>
    <w:rsid w:val="007F18AF"/>
    <w:rsid w:val="007F1CEE"/>
    <w:rsid w:val="007F3803"/>
    <w:rsid w:val="00807C77"/>
    <w:rsid w:val="008122BC"/>
    <w:rsid w:val="0081355A"/>
    <w:rsid w:val="008139EE"/>
    <w:rsid w:val="00817CFB"/>
    <w:rsid w:val="0083004D"/>
    <w:rsid w:val="00837537"/>
    <w:rsid w:val="00842766"/>
    <w:rsid w:val="00854EBF"/>
    <w:rsid w:val="0086094D"/>
    <w:rsid w:val="0086731C"/>
    <w:rsid w:val="00872382"/>
    <w:rsid w:val="0088048C"/>
    <w:rsid w:val="00885C24"/>
    <w:rsid w:val="00886906"/>
    <w:rsid w:val="00890409"/>
    <w:rsid w:val="008912FE"/>
    <w:rsid w:val="00891F20"/>
    <w:rsid w:val="00892828"/>
    <w:rsid w:val="008934DB"/>
    <w:rsid w:val="00896B46"/>
    <w:rsid w:val="008A245D"/>
    <w:rsid w:val="008A54FC"/>
    <w:rsid w:val="008A729B"/>
    <w:rsid w:val="008B70CD"/>
    <w:rsid w:val="008C6446"/>
    <w:rsid w:val="008D0180"/>
    <w:rsid w:val="008D0CE2"/>
    <w:rsid w:val="008D141C"/>
    <w:rsid w:val="008D2C13"/>
    <w:rsid w:val="008D3689"/>
    <w:rsid w:val="008D6760"/>
    <w:rsid w:val="008E1EC0"/>
    <w:rsid w:val="008E330F"/>
    <w:rsid w:val="008E3D6B"/>
    <w:rsid w:val="008E56D2"/>
    <w:rsid w:val="008E6109"/>
    <w:rsid w:val="008F4513"/>
    <w:rsid w:val="008F47AB"/>
    <w:rsid w:val="00907A34"/>
    <w:rsid w:val="00911BDC"/>
    <w:rsid w:val="009170EA"/>
    <w:rsid w:val="0092076F"/>
    <w:rsid w:val="00922431"/>
    <w:rsid w:val="009269BB"/>
    <w:rsid w:val="00930439"/>
    <w:rsid w:val="00935E91"/>
    <w:rsid w:val="00937AEB"/>
    <w:rsid w:val="009418F6"/>
    <w:rsid w:val="00954DDA"/>
    <w:rsid w:val="009662E3"/>
    <w:rsid w:val="00966DD9"/>
    <w:rsid w:val="00975E4A"/>
    <w:rsid w:val="00986677"/>
    <w:rsid w:val="0099421C"/>
    <w:rsid w:val="00995F2E"/>
    <w:rsid w:val="009A2F3A"/>
    <w:rsid w:val="009A3E04"/>
    <w:rsid w:val="009A7A45"/>
    <w:rsid w:val="009B1CC5"/>
    <w:rsid w:val="009B6A8B"/>
    <w:rsid w:val="009C222C"/>
    <w:rsid w:val="009C3803"/>
    <w:rsid w:val="009D2C13"/>
    <w:rsid w:val="009D3BA5"/>
    <w:rsid w:val="009D4791"/>
    <w:rsid w:val="009D4BA1"/>
    <w:rsid w:val="009D7D5A"/>
    <w:rsid w:val="009E3677"/>
    <w:rsid w:val="009E47EB"/>
    <w:rsid w:val="009E61FB"/>
    <w:rsid w:val="009F3A37"/>
    <w:rsid w:val="009F6EA2"/>
    <w:rsid w:val="00A02090"/>
    <w:rsid w:val="00A03731"/>
    <w:rsid w:val="00A03C9E"/>
    <w:rsid w:val="00A061CE"/>
    <w:rsid w:val="00A076B5"/>
    <w:rsid w:val="00A17F69"/>
    <w:rsid w:val="00A23870"/>
    <w:rsid w:val="00A274DB"/>
    <w:rsid w:val="00A340E9"/>
    <w:rsid w:val="00A41E1E"/>
    <w:rsid w:val="00A4751E"/>
    <w:rsid w:val="00A6120A"/>
    <w:rsid w:val="00A6411D"/>
    <w:rsid w:val="00A673EB"/>
    <w:rsid w:val="00A73298"/>
    <w:rsid w:val="00A751C0"/>
    <w:rsid w:val="00A95ACB"/>
    <w:rsid w:val="00A97942"/>
    <w:rsid w:val="00AA079B"/>
    <w:rsid w:val="00AA086A"/>
    <w:rsid w:val="00AA2202"/>
    <w:rsid w:val="00AB797A"/>
    <w:rsid w:val="00AC0EA5"/>
    <w:rsid w:val="00AC2686"/>
    <w:rsid w:val="00AD0EE2"/>
    <w:rsid w:val="00AD1BE1"/>
    <w:rsid w:val="00AD532F"/>
    <w:rsid w:val="00AD7257"/>
    <w:rsid w:val="00AE62B5"/>
    <w:rsid w:val="00AF0889"/>
    <w:rsid w:val="00AF2D0C"/>
    <w:rsid w:val="00AF4C0E"/>
    <w:rsid w:val="00B02F85"/>
    <w:rsid w:val="00B058C4"/>
    <w:rsid w:val="00B14E5E"/>
    <w:rsid w:val="00B15105"/>
    <w:rsid w:val="00B22314"/>
    <w:rsid w:val="00B250C1"/>
    <w:rsid w:val="00B25910"/>
    <w:rsid w:val="00B26973"/>
    <w:rsid w:val="00B30D3B"/>
    <w:rsid w:val="00B4229F"/>
    <w:rsid w:val="00B432D4"/>
    <w:rsid w:val="00B5315C"/>
    <w:rsid w:val="00B576D7"/>
    <w:rsid w:val="00B758D9"/>
    <w:rsid w:val="00B80892"/>
    <w:rsid w:val="00B82735"/>
    <w:rsid w:val="00B92306"/>
    <w:rsid w:val="00B92861"/>
    <w:rsid w:val="00BA7A69"/>
    <w:rsid w:val="00BB15E2"/>
    <w:rsid w:val="00BB1A28"/>
    <w:rsid w:val="00BC3779"/>
    <w:rsid w:val="00BD02C4"/>
    <w:rsid w:val="00BD28DF"/>
    <w:rsid w:val="00BD5792"/>
    <w:rsid w:val="00BD6876"/>
    <w:rsid w:val="00BE0C99"/>
    <w:rsid w:val="00BE2864"/>
    <w:rsid w:val="00BE40FD"/>
    <w:rsid w:val="00C00565"/>
    <w:rsid w:val="00C076BF"/>
    <w:rsid w:val="00C07F94"/>
    <w:rsid w:val="00C212B5"/>
    <w:rsid w:val="00C25F81"/>
    <w:rsid w:val="00C27F02"/>
    <w:rsid w:val="00C312BF"/>
    <w:rsid w:val="00C32C20"/>
    <w:rsid w:val="00C44908"/>
    <w:rsid w:val="00C4741E"/>
    <w:rsid w:val="00C504F4"/>
    <w:rsid w:val="00C512DE"/>
    <w:rsid w:val="00C5575D"/>
    <w:rsid w:val="00C57E85"/>
    <w:rsid w:val="00C65BB4"/>
    <w:rsid w:val="00C65C2D"/>
    <w:rsid w:val="00C7473E"/>
    <w:rsid w:val="00C752E8"/>
    <w:rsid w:val="00C8071C"/>
    <w:rsid w:val="00C816CB"/>
    <w:rsid w:val="00C82461"/>
    <w:rsid w:val="00C83E0E"/>
    <w:rsid w:val="00C84EF7"/>
    <w:rsid w:val="00C856C5"/>
    <w:rsid w:val="00C87F52"/>
    <w:rsid w:val="00C91376"/>
    <w:rsid w:val="00C91E3B"/>
    <w:rsid w:val="00C95AF1"/>
    <w:rsid w:val="00CA07CC"/>
    <w:rsid w:val="00CA12C8"/>
    <w:rsid w:val="00CA25B5"/>
    <w:rsid w:val="00CA4FCE"/>
    <w:rsid w:val="00CA5F8F"/>
    <w:rsid w:val="00CA7E5D"/>
    <w:rsid w:val="00CC0499"/>
    <w:rsid w:val="00CC5A6F"/>
    <w:rsid w:val="00CC65B7"/>
    <w:rsid w:val="00CD038D"/>
    <w:rsid w:val="00CD07E7"/>
    <w:rsid w:val="00CD16F8"/>
    <w:rsid w:val="00CD3E90"/>
    <w:rsid w:val="00CE271A"/>
    <w:rsid w:val="00CE6FF5"/>
    <w:rsid w:val="00CF5245"/>
    <w:rsid w:val="00D032A3"/>
    <w:rsid w:val="00D05559"/>
    <w:rsid w:val="00D06683"/>
    <w:rsid w:val="00D07B1A"/>
    <w:rsid w:val="00D1101B"/>
    <w:rsid w:val="00D1167E"/>
    <w:rsid w:val="00D234E7"/>
    <w:rsid w:val="00D248BF"/>
    <w:rsid w:val="00D2773E"/>
    <w:rsid w:val="00D30E46"/>
    <w:rsid w:val="00D3663D"/>
    <w:rsid w:val="00D414D4"/>
    <w:rsid w:val="00D4349F"/>
    <w:rsid w:val="00D44EF7"/>
    <w:rsid w:val="00D45C6C"/>
    <w:rsid w:val="00D479E7"/>
    <w:rsid w:val="00D47EF6"/>
    <w:rsid w:val="00D500AF"/>
    <w:rsid w:val="00D50AC8"/>
    <w:rsid w:val="00D550A3"/>
    <w:rsid w:val="00D60A44"/>
    <w:rsid w:val="00D7390F"/>
    <w:rsid w:val="00D74F04"/>
    <w:rsid w:val="00D90913"/>
    <w:rsid w:val="00D92BEC"/>
    <w:rsid w:val="00D971D4"/>
    <w:rsid w:val="00DA18F2"/>
    <w:rsid w:val="00DB17F9"/>
    <w:rsid w:val="00DD5136"/>
    <w:rsid w:val="00DD6973"/>
    <w:rsid w:val="00DE3115"/>
    <w:rsid w:val="00DE4326"/>
    <w:rsid w:val="00DE624B"/>
    <w:rsid w:val="00DF2C67"/>
    <w:rsid w:val="00DF3AE2"/>
    <w:rsid w:val="00DF7D21"/>
    <w:rsid w:val="00E03771"/>
    <w:rsid w:val="00E059C5"/>
    <w:rsid w:val="00E11D7E"/>
    <w:rsid w:val="00E14334"/>
    <w:rsid w:val="00E17765"/>
    <w:rsid w:val="00E2117A"/>
    <w:rsid w:val="00E2303A"/>
    <w:rsid w:val="00E343BD"/>
    <w:rsid w:val="00E348D9"/>
    <w:rsid w:val="00E36601"/>
    <w:rsid w:val="00E4165D"/>
    <w:rsid w:val="00E46600"/>
    <w:rsid w:val="00E60351"/>
    <w:rsid w:val="00E620E6"/>
    <w:rsid w:val="00E668CE"/>
    <w:rsid w:val="00E71AE7"/>
    <w:rsid w:val="00E752E6"/>
    <w:rsid w:val="00E7581E"/>
    <w:rsid w:val="00E768B0"/>
    <w:rsid w:val="00E87570"/>
    <w:rsid w:val="00EA2ED5"/>
    <w:rsid w:val="00EA6088"/>
    <w:rsid w:val="00EB137E"/>
    <w:rsid w:val="00EB3863"/>
    <w:rsid w:val="00EC1A2C"/>
    <w:rsid w:val="00EC4471"/>
    <w:rsid w:val="00ED2C10"/>
    <w:rsid w:val="00ED6334"/>
    <w:rsid w:val="00ED6DB7"/>
    <w:rsid w:val="00EE6C8D"/>
    <w:rsid w:val="00EF0022"/>
    <w:rsid w:val="00EF0238"/>
    <w:rsid w:val="00F043BF"/>
    <w:rsid w:val="00F06BCC"/>
    <w:rsid w:val="00F11542"/>
    <w:rsid w:val="00F212EB"/>
    <w:rsid w:val="00F23D13"/>
    <w:rsid w:val="00F32DEC"/>
    <w:rsid w:val="00F43E24"/>
    <w:rsid w:val="00F45561"/>
    <w:rsid w:val="00F465D3"/>
    <w:rsid w:val="00F51596"/>
    <w:rsid w:val="00F51BD6"/>
    <w:rsid w:val="00F53A05"/>
    <w:rsid w:val="00F56CD0"/>
    <w:rsid w:val="00F56F06"/>
    <w:rsid w:val="00F56F62"/>
    <w:rsid w:val="00F62D48"/>
    <w:rsid w:val="00F630A7"/>
    <w:rsid w:val="00F66350"/>
    <w:rsid w:val="00F73815"/>
    <w:rsid w:val="00F7770D"/>
    <w:rsid w:val="00F84E83"/>
    <w:rsid w:val="00F905E7"/>
    <w:rsid w:val="00F91FDD"/>
    <w:rsid w:val="00F93115"/>
    <w:rsid w:val="00FA4E32"/>
    <w:rsid w:val="00FA5792"/>
    <w:rsid w:val="00FA69FC"/>
    <w:rsid w:val="00FB04BE"/>
    <w:rsid w:val="00FB200D"/>
    <w:rsid w:val="00FB3571"/>
    <w:rsid w:val="00FB4F1D"/>
    <w:rsid w:val="00FD5982"/>
    <w:rsid w:val="00FE534F"/>
    <w:rsid w:val="00FE7EEC"/>
    <w:rsid w:val="00FF0E5A"/>
    <w:rsid w:val="00FF633F"/>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semiHidden="0" w:uiPriority="0" w:unhideWhenUsed="0" w:qFormat="1"/>
    <w:lsdException w:name="heading 3" w:locked="0" w:semiHidden="0" w:uiPriority="0" w:unhideWhenUsed="0" w:qFormat="1"/>
    <w:lsdException w:name="heading 4" w:locked="0"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locked="0" w:uiPriority="39" w:qFormat="1"/>
    <w:lsdException w:name="toc 2" w:locked="0" w:uiPriority="39" w:qFormat="1"/>
    <w:lsdException w:name="toc 3" w:locked="0" w:uiPriority="39" w:qFormat="1"/>
    <w:lsdException w:name="toc 4" w:locked="0" w:uiPriority="39"/>
    <w:lsdException w:name="toc 5" w:uiPriority="39"/>
    <w:lsdException w:name="toc 6" w:uiPriority="39"/>
    <w:lsdException w:name="toc 7" w:uiPriority="39"/>
    <w:lsdException w:name="toc 8" w:uiPriority="39"/>
    <w:lsdException w:name="toc 9" w:uiPriority="39"/>
    <w:lsdException w:name="footnote text" w:locked="0" w:uiPriority="0"/>
    <w:lsdException w:name="header" w:uiPriority="0"/>
    <w:lsdException w:name="footer" w:uiPriority="0"/>
    <w:lsdException w:name="caption" w:locked="0" w:uiPriority="0" w:qFormat="1"/>
    <w:lsdException w:name="footnote reference" w:locked="0" w:uiPriority="0"/>
    <w:lsdException w:name="page number" w:uiPriority="0"/>
    <w:lsdException w:name="Title" w:uiPriority="10" w:unhideWhenUsed="0" w:qFormat="1"/>
    <w:lsdException w:name="Default Paragraph Font" w:locked="0" w:uiPriority="1"/>
    <w:lsdException w:name="Subtitle" w:uiPriority="11" w:unhideWhenUsed="0" w:qFormat="1"/>
    <w:lsdException w:name="Hyperlink" w:locked="0"/>
    <w:lsdException w:name="Strong" w:uiPriority="0" w:unhideWhenUsed="0" w:qFormat="1"/>
    <w:lsdException w:name="Emphasis" w:locked="0" w:semiHidden="0" w:uiPriority="1" w:unhideWhenUsed="0" w:qFormat="1"/>
    <w:lsdException w:name="HTML Top of Form" w:locked="0"/>
    <w:lsdException w:name="HTML Bottom of Form" w:locked="0"/>
    <w:lsdException w:name="Normal Table" w:locked="0"/>
    <w:lsdException w:name="No List" w:locked="0"/>
    <w:lsdException w:name="Table Grid" w:semiHidden="0" w:uiPriority="0" w:unhideWhenUsed="0" w:qFormat="1"/>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uiPriority="34" w:unhideWhenUsed="0" w:qFormat="1"/>
    <w:lsdException w:name="Quote" w:uiPriority="29" w:unhideWhenUsed="0" w:qFormat="1"/>
    <w:lsdException w:name="Intense Quote"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locked="0" w:uiPriority="19" w:unhideWhenUsed="0" w:qFormat="1"/>
    <w:lsdException w:name="Intense Emphasis" w:uiPriority="21" w:unhideWhenUsed="0" w:qFormat="1"/>
    <w:lsdException w:name="Subtle Reference" w:uiPriority="31" w:unhideWhenUsed="0" w:qFormat="1"/>
    <w:lsdException w:name="Intense Reference" w:uiPriority="0" w:unhideWhenUsed="0"/>
    <w:lsdException w:name="Book Title" w:uiPriority="33" w:unhideWhenUsed="0" w:qFormat="1"/>
    <w:lsdException w:name="Bibliography" w:uiPriority="37"/>
    <w:lsdException w:name="TOC Heading" w:uiPriority="39" w:qFormat="1"/>
  </w:latentStyles>
  <w:style w:type="paragraph" w:default="1" w:styleId="Normal">
    <w:name w:val="Normal"/>
    <w:aliases w:val="ECC Base"/>
    <w:semiHidden/>
    <w:qFormat/>
    <w:rsid w:val="00714F0F"/>
    <w:rPr>
      <w:rFonts w:eastAsia="Calibri"/>
      <w:szCs w:val="22"/>
      <w:lang w:val="en-GB"/>
    </w:rPr>
  </w:style>
  <w:style w:type="paragraph" w:styleId="Heading1">
    <w:name w:val="heading 1"/>
    <w:aliases w:val="ECC Heading 1"/>
    <w:next w:val="Normal"/>
    <w:qFormat/>
    <w:rsid w:val="00A751C0"/>
    <w:pPr>
      <w:keepNext/>
      <w:numPr>
        <w:numId w:val="6"/>
      </w:numPr>
      <w:spacing w:before="600"/>
      <w:ind w:left="431" w:hanging="431"/>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ind w:left="578" w:hanging="578"/>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qFormat/>
    <w:locked/>
    <w:rsid w:val="009E47EB"/>
    <w:pPr>
      <w:numPr>
        <w:ilvl w:val="4"/>
        <w:numId w:val="6"/>
      </w:numPr>
      <w:outlineLvl w:val="4"/>
    </w:pPr>
    <w:rPr>
      <w:b/>
      <w:bCs/>
      <w:i/>
      <w:iCs/>
      <w:sz w:val="26"/>
      <w:szCs w:val="26"/>
    </w:rPr>
  </w:style>
  <w:style w:type="paragraph" w:styleId="Heading6">
    <w:name w:val="heading 6"/>
    <w:basedOn w:val="Normal"/>
    <w:next w:val="Normal"/>
    <w:qFormat/>
    <w:locked/>
    <w:rsid w:val="009E47EB"/>
    <w:pPr>
      <w:numPr>
        <w:ilvl w:val="5"/>
        <w:numId w:val="6"/>
      </w:numPr>
      <w:outlineLvl w:val="5"/>
    </w:pPr>
    <w:rPr>
      <w:b/>
      <w:bCs/>
      <w:sz w:val="22"/>
    </w:rPr>
  </w:style>
  <w:style w:type="paragraph" w:styleId="Heading7">
    <w:name w:val="heading 7"/>
    <w:basedOn w:val="Normal"/>
    <w:next w:val="Normal"/>
    <w:qFormat/>
    <w:locked/>
    <w:rsid w:val="009E47EB"/>
    <w:pPr>
      <w:numPr>
        <w:ilvl w:val="6"/>
        <w:numId w:val="6"/>
      </w:numPr>
      <w:outlineLvl w:val="6"/>
    </w:pPr>
    <w:rPr>
      <w:sz w:val="24"/>
    </w:rPr>
  </w:style>
  <w:style w:type="paragraph" w:styleId="Heading8">
    <w:name w:val="heading 8"/>
    <w:basedOn w:val="Normal"/>
    <w:next w:val="Normal"/>
    <w:qFormat/>
    <w:locked/>
    <w:rsid w:val="009E47EB"/>
    <w:pPr>
      <w:numPr>
        <w:ilvl w:val="7"/>
        <w:numId w:val="6"/>
      </w:numPr>
      <w:outlineLvl w:val="7"/>
    </w:pPr>
    <w:rPr>
      <w:i/>
      <w:iCs/>
      <w:sz w:val="24"/>
    </w:rPr>
  </w:style>
  <w:style w:type="paragraph" w:styleId="Heading9">
    <w:name w:val="heading 9"/>
    <w:basedOn w:val="Normal"/>
    <w:next w:val="Normal"/>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rsid w:val="00714F0F"/>
    <w:pPr>
      <w:numPr>
        <w:numId w:val="2"/>
      </w:numPr>
      <w:tabs>
        <w:tab w:val="left" w:pos="340"/>
      </w:tabs>
      <w:spacing w:before="60" w:after="0" w:line="288" w:lineRule="auto"/>
      <w:ind w:left="340" w:hanging="340"/>
      <w:contextualSpacing/>
    </w:pPr>
  </w:style>
  <w:style w:type="paragraph" w:styleId="Header">
    <w:name w:val="header"/>
    <w:basedOn w:val="Normal"/>
    <w:locked/>
    <w:rsid w:val="00C95C7C"/>
    <w:pPr>
      <w:tabs>
        <w:tab w:val="center" w:pos="4320"/>
        <w:tab w:val="right" w:pos="8640"/>
      </w:tabs>
    </w:pPr>
    <w:rPr>
      <w:b/>
      <w:sz w:val="16"/>
    </w:rPr>
  </w:style>
  <w:style w:type="paragraph" w:customStyle="1" w:styleId="ECCBox">
    <w:name w:val="ECC Box"/>
    <w:link w:val="ECCBoxZchn"/>
    <w:uiPriority w:val="99"/>
    <w:rsid w:val="0042761F"/>
    <w:pPr>
      <w:keepLines/>
      <w:pBdr>
        <w:top w:val="single" w:sz="12" w:space="4" w:color="auto"/>
        <w:left w:val="single" w:sz="12" w:space="4" w:color="auto"/>
        <w:bottom w:val="single" w:sz="12" w:space="4" w:color="auto"/>
        <w:right w:val="single" w:sz="12" w:space="4" w:color="auto"/>
      </w:pBdr>
      <w:spacing w:before="60"/>
    </w:pPr>
    <w:rPr>
      <w:lang w:eastAsia="de-DE"/>
    </w:rPr>
  </w:style>
  <w:style w:type="character" w:customStyle="1" w:styleId="ECCBoxZchn">
    <w:name w:val="ECC Box Zchn"/>
    <w:link w:val="ECCBox"/>
    <w:uiPriority w:val="99"/>
    <w:rsid w:val="0042761F"/>
    <w:rPr>
      <w:szCs w:val="22"/>
      <w:lang w:val="en-GB" w:eastAsia="de-DE"/>
    </w:rPr>
  </w:style>
  <w:style w:type="paragraph" w:customStyle="1" w:styleId="ECCAnnexheading1">
    <w:name w:val="ECC Annex heading1"/>
    <w:next w:val="Normal"/>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FootnoteText">
    <w:name w:val="footnote text"/>
    <w:aliases w:val="ECC Footnote"/>
    <w:basedOn w:val="Normal"/>
    <w:link w:val="FootnoteTextChar"/>
    <w:rsid w:val="001526A2"/>
    <w:pPr>
      <w:widowControl w:val="0"/>
      <w:tabs>
        <w:tab w:val="left" w:pos="284"/>
      </w:tabs>
      <w:spacing w:after="0"/>
      <w:ind w:left="284" w:hanging="284"/>
    </w:pPr>
    <w:rPr>
      <w:sz w:val="16"/>
      <w:szCs w:val="16"/>
      <w:lang w:val="da-DK"/>
      <w14:cntxtAlts/>
    </w:rPr>
  </w:style>
  <w:style w:type="character" w:customStyle="1" w:styleId="FootnoteTextChar">
    <w:name w:val="Footnote Text Char"/>
    <w:aliases w:val="ECC Footnote Char"/>
    <w:basedOn w:val="DefaultParagraphFont"/>
    <w:link w:val="FootnoteText"/>
    <w:rsid w:val="001526A2"/>
    <w:rPr>
      <w:rFonts w:eastAsia="Calibri"/>
      <w:sz w:val="16"/>
      <w:szCs w:val="16"/>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styleId="FootnoteReference">
    <w:name w:val="footnote reference"/>
    <w:aliases w:val="ECC Footnote number"/>
    <w:basedOn w:val="DefaultParagraphFont"/>
    <w:rsid w:val="00DB17F9"/>
    <w:rPr>
      <w:rFonts w:ascii="Arial" w:hAnsi="Arial"/>
      <w:sz w:val="20"/>
      <w:vertAlign w:val="superscript"/>
    </w:rPr>
  </w:style>
  <w:style w:type="paragraph" w:styleId="Caption">
    <w:name w:val="caption"/>
    <w:aliases w:val="ECC Caption"/>
    <w:next w:val="Normal"/>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tabs>
        <w:tab w:val="num" w:pos="864"/>
      </w:tabs>
      <w:overflowPunct w:val="0"/>
      <w:autoSpaceDE w:val="0"/>
      <w:autoSpaceDN w:val="0"/>
      <w:adjustRightInd w:val="0"/>
      <w:spacing w:before="360"/>
      <w:ind w:left="864" w:hanging="864"/>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rsid w:val="00F51BD6"/>
    <w:pPr>
      <w:numPr>
        <w:ilvl w:val="1"/>
        <w:numId w:val="3"/>
      </w:numPr>
      <w:spacing w:after="0"/>
    </w:pPr>
  </w:style>
  <w:style w:type="paragraph" w:customStyle="1" w:styleId="ECCNumberedList">
    <w:name w:val="ECC Numbered List"/>
    <w:basedOn w:val="Normal"/>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ered">
    <w:name w:val="ECC Figure/graph centered"/>
    <w:next w:val="Normal"/>
    <w:rsid w:val="00283417"/>
    <w:pPr>
      <w:spacing w:after="240"/>
      <w:jc w:val="center"/>
    </w:pPr>
    <w:rPr>
      <w:noProof/>
      <w:lang w:val="de-DE" w:eastAsia="de-DE"/>
      <w14:cntxtAlts/>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Headerredfont">
    <w:name w:val="ECC Table Header red font"/>
    <w:qFormat/>
    <w:rsid w:val="0038287C"/>
    <w:pPr>
      <w:spacing w:before="120"/>
    </w:pPr>
    <w:rPr>
      <w:bCs/>
      <w:color w:val="D2232A"/>
      <w:lang w:val="en-GB"/>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basedOn w:val="Strong"/>
    <w:uiPriority w:val="1"/>
    <w:qFormat/>
    <w:rsid w:val="0038287C"/>
    <w:rPr>
      <w:b/>
      <w:bCs/>
    </w:rPr>
  </w:style>
  <w:style w:type="character" w:styleId="Strong">
    <w:name w:val="Strong"/>
    <w:basedOn w:val="DefaultParagraphFont"/>
    <w:semiHidden/>
    <w:qFormat/>
    <w:locked/>
    <w:rsid w:val="0038287C"/>
    <w:rPr>
      <w:b/>
      <w:bCs/>
    </w:rPr>
  </w:style>
  <w:style w:type="character" w:styleId="Emphasis">
    <w:name w:val="Emphasis"/>
    <w:aliases w:val="ECC HL italics"/>
    <w:basedOn w:val="DefaultParagraphFont"/>
    <w:uiPriority w:val="1"/>
    <w:qFormat/>
    <w:rsid w:val="00DB17F9"/>
    <w:rPr>
      <w:i/>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
    <w:basedOn w:val="DefaultParagraphFont"/>
    <w:uiPriority w:val="99"/>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table" w:customStyle="1" w:styleId="ECCTable-redheader">
    <w:name w:val="ECC Table - red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qFormat/>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StandardAN">
    <w:name w:val="Standard A:N"/>
    <w:basedOn w:val="Normal"/>
    <w:link w:val="StandardANZchn"/>
    <w:rsid w:val="00F51596"/>
    <w:pPr>
      <w:overflowPunct w:val="0"/>
      <w:autoSpaceDE w:val="0"/>
      <w:autoSpaceDN w:val="0"/>
      <w:adjustRightInd w:val="0"/>
      <w:spacing w:before="0" w:after="120"/>
      <w:jc w:val="left"/>
      <w:textAlignment w:val="baseline"/>
    </w:pPr>
    <w:rPr>
      <w:rFonts w:eastAsia="Times New Roman" w:cs="Arial"/>
      <w:sz w:val="22"/>
      <w:lang w:val="de-DE" w:eastAsia="de-DE"/>
    </w:rPr>
  </w:style>
  <w:style w:type="character" w:customStyle="1" w:styleId="StandardANZchn">
    <w:name w:val="Standard A:N Zchn"/>
    <w:basedOn w:val="DefaultParagraphFont"/>
    <w:link w:val="StandardAN"/>
    <w:rsid w:val="00F51596"/>
    <w:rPr>
      <w:rFonts w:cs="Arial"/>
      <w:sz w:val="22"/>
      <w:szCs w:val="22"/>
      <w:lang w:val="de-DE" w:eastAsia="de-DE"/>
    </w:rPr>
  </w:style>
  <w:style w:type="paragraph" w:styleId="Footer">
    <w:name w:val="footer"/>
    <w:basedOn w:val="Normal"/>
    <w:link w:val="FooterChar"/>
    <w:locked/>
    <w:rsid w:val="00F51596"/>
    <w:pPr>
      <w:tabs>
        <w:tab w:val="center" w:pos="4536"/>
        <w:tab w:val="right" w:pos="9072"/>
      </w:tabs>
      <w:overflowPunct w:val="0"/>
      <w:autoSpaceDE w:val="0"/>
      <w:autoSpaceDN w:val="0"/>
      <w:adjustRightInd w:val="0"/>
      <w:spacing w:before="0" w:after="0"/>
      <w:jc w:val="left"/>
      <w:textAlignment w:val="baseline"/>
    </w:pPr>
    <w:rPr>
      <w:rFonts w:eastAsia="Times New Roman" w:cs="Arial"/>
      <w:sz w:val="22"/>
      <w:lang w:val="de-DE" w:eastAsia="de-DE"/>
    </w:rPr>
  </w:style>
  <w:style w:type="character" w:customStyle="1" w:styleId="FooterChar">
    <w:name w:val="Footer Char"/>
    <w:basedOn w:val="DefaultParagraphFont"/>
    <w:link w:val="Footer"/>
    <w:rsid w:val="00F51596"/>
    <w:rPr>
      <w:rFonts w:cs="Arial"/>
      <w:sz w:val="22"/>
      <w:szCs w:val="22"/>
      <w:lang w:val="de-DE" w:eastAsia="de-DE"/>
    </w:rPr>
  </w:style>
  <w:style w:type="character" w:styleId="PageNumber">
    <w:name w:val="page number"/>
    <w:basedOn w:val="DefaultParagraphFont"/>
    <w:locked/>
    <w:rsid w:val="00F51596"/>
  </w:style>
  <w:style w:type="paragraph" w:customStyle="1" w:styleId="Tabelle">
    <w:name w:val="Tabelle"/>
    <w:basedOn w:val="Normal"/>
    <w:next w:val="StandardAN"/>
    <w:rsid w:val="00F51596"/>
    <w:pPr>
      <w:overflowPunct w:val="0"/>
      <w:autoSpaceDE w:val="0"/>
      <w:autoSpaceDN w:val="0"/>
      <w:adjustRightInd w:val="0"/>
      <w:spacing w:before="60"/>
      <w:jc w:val="left"/>
      <w:textAlignment w:val="baseline"/>
    </w:pPr>
    <w:rPr>
      <w:rFonts w:eastAsia="Times New Roman" w:cs="Arial"/>
      <w:szCs w:val="20"/>
      <w:lang w:val="de-DE" w:eastAsia="de-DE"/>
    </w:rPr>
  </w:style>
  <w:style w:type="paragraph" w:customStyle="1" w:styleId="Bildunterschrift">
    <w:name w:val="Bildunterschrift"/>
    <w:basedOn w:val="Normal"/>
    <w:next w:val="StandardAN"/>
    <w:rsid w:val="00F51596"/>
    <w:pPr>
      <w:overflowPunct w:val="0"/>
      <w:autoSpaceDE w:val="0"/>
      <w:autoSpaceDN w:val="0"/>
      <w:adjustRightInd w:val="0"/>
      <w:spacing w:before="0" w:after="240"/>
      <w:ind w:left="567" w:hanging="567"/>
      <w:jc w:val="left"/>
      <w:textAlignment w:val="baseline"/>
    </w:pPr>
    <w:rPr>
      <w:rFonts w:eastAsia="Times New Roman" w:cs="Arial"/>
      <w:sz w:val="16"/>
      <w:szCs w:val="16"/>
      <w:lang w:val="de-DE" w:eastAsia="de-DE"/>
    </w:rPr>
  </w:style>
  <w:style w:type="character" w:styleId="FollowedHyperlink">
    <w:name w:val="FollowedHyperlink"/>
    <w:basedOn w:val="DefaultParagraphFont"/>
    <w:uiPriority w:val="99"/>
    <w:semiHidden/>
    <w:unhideWhenUsed/>
    <w:locked/>
    <w:rsid w:val="00D44EF7"/>
    <w:rPr>
      <w:color w:val="800080" w:themeColor="followedHyperlink"/>
      <w:u w:val="single"/>
    </w:rPr>
  </w:style>
  <w:style w:type="paragraph" w:customStyle="1" w:styleId="Questionarie-instance">
    <w:name w:val="Questionarie-instance"/>
    <w:basedOn w:val="Normal"/>
    <w:rsid w:val="008139EE"/>
    <w:pPr>
      <w:pBdr>
        <w:top w:val="nil"/>
        <w:left w:val="nil"/>
        <w:bottom w:val="nil"/>
        <w:right w:val="nil"/>
      </w:pBdr>
      <w:spacing w:before="0" w:after="0"/>
      <w:jc w:val="left"/>
    </w:pPr>
    <w:rPr>
      <w:rFonts w:ascii="Times New Roman" w:eastAsia="Times New Roman" w:hAnsi="Times New Roman"/>
      <w:sz w:val="24"/>
      <w:szCs w:val="24"/>
      <w:bdr w:val="nil"/>
      <w:lang w:val="en-US"/>
    </w:rPr>
  </w:style>
  <w:style w:type="character" w:customStyle="1" w:styleId="Questionarie-instanceQuestion-text">
    <w:name w:val="Questionarie-instance_Question-text"/>
    <w:basedOn w:val="DefaultParagraphFont"/>
    <w:rsid w:val="008139EE"/>
    <w:rPr>
      <w:b/>
      <w:bCs/>
      <w:bdr w:val="nil"/>
    </w:rPr>
  </w:style>
  <w:style w:type="table" w:customStyle="1" w:styleId="Question-group-table">
    <w:name w:val="Question-group-table"/>
    <w:rsid w:val="008139EE"/>
    <w:pPr>
      <w:spacing w:before="0" w:after="0"/>
      <w:jc w:val="left"/>
    </w:pPr>
    <w:rPr>
      <w:rFonts w:ascii="Times New Roman" w:hAnsi="Times New Roman"/>
      <w:lang w:val="en-US"/>
    </w:rPr>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locked/>
    <w:rsid w:val="008139EE"/>
    <w:rPr>
      <w:sz w:val="16"/>
      <w:szCs w:val="16"/>
    </w:rPr>
  </w:style>
  <w:style w:type="paragraph" w:styleId="CommentText">
    <w:name w:val="annotation text"/>
    <w:basedOn w:val="Normal"/>
    <w:link w:val="CommentTextChar"/>
    <w:uiPriority w:val="99"/>
    <w:semiHidden/>
    <w:unhideWhenUsed/>
    <w:locked/>
    <w:rsid w:val="008139EE"/>
    <w:pPr>
      <w:spacing w:before="0" w:after="120"/>
    </w:pPr>
    <w:rPr>
      <w:rFonts w:eastAsia="Times New Roman"/>
      <w:szCs w:val="20"/>
      <w:lang w:val="nb-NO" w:eastAsia="de-DE"/>
    </w:rPr>
  </w:style>
  <w:style w:type="character" w:customStyle="1" w:styleId="CommentTextChar">
    <w:name w:val="Comment Text Char"/>
    <w:basedOn w:val="DefaultParagraphFont"/>
    <w:link w:val="CommentText"/>
    <w:uiPriority w:val="99"/>
    <w:semiHidden/>
    <w:rsid w:val="008139EE"/>
    <w:rPr>
      <w:lang w:val="nb-NO" w:eastAsia="de-DE"/>
    </w:rPr>
  </w:style>
  <w:style w:type="table" w:customStyle="1" w:styleId="Question-group-table1">
    <w:name w:val="Question-group-table1"/>
    <w:rsid w:val="008D3689"/>
    <w:pPr>
      <w:spacing w:before="0" w:after="0"/>
      <w:jc w:val="left"/>
    </w:pPr>
    <w:rPr>
      <w:rFonts w:ascii="Times New Roman" w:hAnsi="Times New Roman"/>
      <w:lang w:eastAsia="da-DK"/>
    </w:rPr>
    <w:tblPr>
      <w:tblCellMar>
        <w:top w:w="0" w:type="dxa"/>
        <w:left w:w="0" w:type="dxa"/>
        <w:bottom w:w="0" w:type="dxa"/>
        <w:right w:w="0" w:type="dxa"/>
      </w:tblCellMar>
    </w:tblPr>
  </w:style>
  <w:style w:type="table" w:customStyle="1" w:styleId="TableGrid1">
    <w:name w:val="Table Grid1"/>
    <w:basedOn w:val="TableNormal"/>
    <w:next w:val="TableGrid"/>
    <w:uiPriority w:val="59"/>
    <w:rsid w:val="008D3689"/>
    <w:pPr>
      <w:spacing w:before="0" w:after="0"/>
      <w:jc w:val="left"/>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area">
    <w:name w:val="Textarea"/>
    <w:basedOn w:val="DefaultParagraphFont"/>
    <w:rsid w:val="00BE40FD"/>
    <w:rPr>
      <w:bdr w:val="ni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semiHidden="0" w:uiPriority="0" w:unhideWhenUsed="0" w:qFormat="1"/>
    <w:lsdException w:name="heading 3" w:locked="0" w:semiHidden="0" w:uiPriority="0" w:unhideWhenUsed="0" w:qFormat="1"/>
    <w:lsdException w:name="heading 4" w:locked="0"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locked="0" w:uiPriority="39" w:qFormat="1"/>
    <w:lsdException w:name="toc 2" w:locked="0" w:uiPriority="39" w:qFormat="1"/>
    <w:lsdException w:name="toc 3" w:locked="0" w:uiPriority="39" w:qFormat="1"/>
    <w:lsdException w:name="toc 4" w:locked="0" w:uiPriority="39"/>
    <w:lsdException w:name="toc 5" w:uiPriority="39"/>
    <w:lsdException w:name="toc 6" w:uiPriority="39"/>
    <w:lsdException w:name="toc 7" w:uiPriority="39"/>
    <w:lsdException w:name="toc 8" w:uiPriority="39"/>
    <w:lsdException w:name="toc 9" w:uiPriority="39"/>
    <w:lsdException w:name="footnote text" w:locked="0" w:uiPriority="0"/>
    <w:lsdException w:name="header" w:uiPriority="0"/>
    <w:lsdException w:name="footer" w:uiPriority="0"/>
    <w:lsdException w:name="caption" w:locked="0" w:uiPriority="0" w:qFormat="1"/>
    <w:lsdException w:name="footnote reference" w:locked="0" w:uiPriority="0"/>
    <w:lsdException w:name="page number" w:uiPriority="0"/>
    <w:lsdException w:name="Title" w:uiPriority="10" w:unhideWhenUsed="0" w:qFormat="1"/>
    <w:lsdException w:name="Default Paragraph Font" w:locked="0" w:uiPriority="1"/>
    <w:lsdException w:name="Subtitle" w:uiPriority="11" w:unhideWhenUsed="0" w:qFormat="1"/>
    <w:lsdException w:name="Hyperlink" w:locked="0"/>
    <w:lsdException w:name="Strong" w:uiPriority="0" w:unhideWhenUsed="0" w:qFormat="1"/>
    <w:lsdException w:name="Emphasis" w:locked="0" w:semiHidden="0" w:uiPriority="1" w:unhideWhenUsed="0" w:qFormat="1"/>
    <w:lsdException w:name="HTML Top of Form" w:locked="0"/>
    <w:lsdException w:name="HTML Bottom of Form" w:locked="0"/>
    <w:lsdException w:name="Normal Table" w:locked="0"/>
    <w:lsdException w:name="No List" w:locked="0"/>
    <w:lsdException w:name="Table Grid" w:semiHidden="0" w:uiPriority="0" w:unhideWhenUsed="0" w:qFormat="1"/>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uiPriority="34" w:unhideWhenUsed="0" w:qFormat="1"/>
    <w:lsdException w:name="Quote" w:uiPriority="29" w:unhideWhenUsed="0" w:qFormat="1"/>
    <w:lsdException w:name="Intense Quote"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locked="0" w:uiPriority="19" w:unhideWhenUsed="0" w:qFormat="1"/>
    <w:lsdException w:name="Intense Emphasis" w:uiPriority="21" w:unhideWhenUsed="0" w:qFormat="1"/>
    <w:lsdException w:name="Subtle Reference" w:uiPriority="31" w:unhideWhenUsed="0" w:qFormat="1"/>
    <w:lsdException w:name="Intense Reference" w:uiPriority="0" w:unhideWhenUsed="0"/>
    <w:lsdException w:name="Book Title" w:uiPriority="33" w:unhideWhenUsed="0" w:qFormat="1"/>
    <w:lsdException w:name="Bibliography" w:uiPriority="37"/>
    <w:lsdException w:name="TOC Heading" w:uiPriority="39" w:qFormat="1"/>
  </w:latentStyles>
  <w:style w:type="paragraph" w:default="1" w:styleId="Normal">
    <w:name w:val="Normal"/>
    <w:aliases w:val="ECC Base"/>
    <w:semiHidden/>
    <w:qFormat/>
    <w:rsid w:val="00714F0F"/>
    <w:rPr>
      <w:rFonts w:eastAsia="Calibri"/>
      <w:szCs w:val="22"/>
      <w:lang w:val="en-GB"/>
    </w:rPr>
  </w:style>
  <w:style w:type="paragraph" w:styleId="Heading1">
    <w:name w:val="heading 1"/>
    <w:aliases w:val="ECC Heading 1"/>
    <w:next w:val="Normal"/>
    <w:qFormat/>
    <w:rsid w:val="00A751C0"/>
    <w:pPr>
      <w:keepNext/>
      <w:numPr>
        <w:numId w:val="6"/>
      </w:numPr>
      <w:spacing w:before="600"/>
      <w:ind w:left="431" w:hanging="431"/>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ind w:left="578" w:hanging="578"/>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qFormat/>
    <w:locked/>
    <w:rsid w:val="009E47EB"/>
    <w:pPr>
      <w:numPr>
        <w:ilvl w:val="4"/>
        <w:numId w:val="6"/>
      </w:numPr>
      <w:outlineLvl w:val="4"/>
    </w:pPr>
    <w:rPr>
      <w:b/>
      <w:bCs/>
      <w:i/>
      <w:iCs/>
      <w:sz w:val="26"/>
      <w:szCs w:val="26"/>
    </w:rPr>
  </w:style>
  <w:style w:type="paragraph" w:styleId="Heading6">
    <w:name w:val="heading 6"/>
    <w:basedOn w:val="Normal"/>
    <w:next w:val="Normal"/>
    <w:qFormat/>
    <w:locked/>
    <w:rsid w:val="009E47EB"/>
    <w:pPr>
      <w:numPr>
        <w:ilvl w:val="5"/>
        <w:numId w:val="6"/>
      </w:numPr>
      <w:outlineLvl w:val="5"/>
    </w:pPr>
    <w:rPr>
      <w:b/>
      <w:bCs/>
      <w:sz w:val="22"/>
    </w:rPr>
  </w:style>
  <w:style w:type="paragraph" w:styleId="Heading7">
    <w:name w:val="heading 7"/>
    <w:basedOn w:val="Normal"/>
    <w:next w:val="Normal"/>
    <w:qFormat/>
    <w:locked/>
    <w:rsid w:val="009E47EB"/>
    <w:pPr>
      <w:numPr>
        <w:ilvl w:val="6"/>
        <w:numId w:val="6"/>
      </w:numPr>
      <w:outlineLvl w:val="6"/>
    </w:pPr>
    <w:rPr>
      <w:sz w:val="24"/>
    </w:rPr>
  </w:style>
  <w:style w:type="paragraph" w:styleId="Heading8">
    <w:name w:val="heading 8"/>
    <w:basedOn w:val="Normal"/>
    <w:next w:val="Normal"/>
    <w:qFormat/>
    <w:locked/>
    <w:rsid w:val="009E47EB"/>
    <w:pPr>
      <w:numPr>
        <w:ilvl w:val="7"/>
        <w:numId w:val="6"/>
      </w:numPr>
      <w:outlineLvl w:val="7"/>
    </w:pPr>
    <w:rPr>
      <w:i/>
      <w:iCs/>
      <w:sz w:val="24"/>
    </w:rPr>
  </w:style>
  <w:style w:type="paragraph" w:styleId="Heading9">
    <w:name w:val="heading 9"/>
    <w:basedOn w:val="Normal"/>
    <w:next w:val="Normal"/>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rsid w:val="00714F0F"/>
    <w:pPr>
      <w:numPr>
        <w:numId w:val="2"/>
      </w:numPr>
      <w:tabs>
        <w:tab w:val="left" w:pos="340"/>
      </w:tabs>
      <w:spacing w:before="60" w:after="0" w:line="288" w:lineRule="auto"/>
      <w:ind w:left="340" w:hanging="340"/>
      <w:contextualSpacing/>
    </w:pPr>
  </w:style>
  <w:style w:type="paragraph" w:styleId="Header">
    <w:name w:val="header"/>
    <w:basedOn w:val="Normal"/>
    <w:locked/>
    <w:rsid w:val="00C95C7C"/>
    <w:pPr>
      <w:tabs>
        <w:tab w:val="center" w:pos="4320"/>
        <w:tab w:val="right" w:pos="8640"/>
      </w:tabs>
    </w:pPr>
    <w:rPr>
      <w:b/>
      <w:sz w:val="16"/>
    </w:rPr>
  </w:style>
  <w:style w:type="paragraph" w:customStyle="1" w:styleId="ECCBox">
    <w:name w:val="ECC Box"/>
    <w:link w:val="ECCBoxZchn"/>
    <w:uiPriority w:val="99"/>
    <w:rsid w:val="0042761F"/>
    <w:pPr>
      <w:keepLines/>
      <w:pBdr>
        <w:top w:val="single" w:sz="12" w:space="4" w:color="auto"/>
        <w:left w:val="single" w:sz="12" w:space="4" w:color="auto"/>
        <w:bottom w:val="single" w:sz="12" w:space="4" w:color="auto"/>
        <w:right w:val="single" w:sz="12" w:space="4" w:color="auto"/>
      </w:pBdr>
      <w:spacing w:before="60"/>
    </w:pPr>
    <w:rPr>
      <w:lang w:eastAsia="de-DE"/>
    </w:rPr>
  </w:style>
  <w:style w:type="character" w:customStyle="1" w:styleId="ECCBoxZchn">
    <w:name w:val="ECC Box Zchn"/>
    <w:link w:val="ECCBox"/>
    <w:uiPriority w:val="99"/>
    <w:rsid w:val="0042761F"/>
    <w:rPr>
      <w:szCs w:val="22"/>
      <w:lang w:val="en-GB" w:eastAsia="de-DE"/>
    </w:rPr>
  </w:style>
  <w:style w:type="paragraph" w:customStyle="1" w:styleId="ECCAnnexheading1">
    <w:name w:val="ECC Annex heading1"/>
    <w:next w:val="Normal"/>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FootnoteText">
    <w:name w:val="footnote text"/>
    <w:aliases w:val="ECC Footnote"/>
    <w:basedOn w:val="Normal"/>
    <w:link w:val="FootnoteTextChar"/>
    <w:rsid w:val="001526A2"/>
    <w:pPr>
      <w:widowControl w:val="0"/>
      <w:tabs>
        <w:tab w:val="left" w:pos="284"/>
      </w:tabs>
      <w:spacing w:after="0"/>
      <w:ind w:left="284" w:hanging="284"/>
    </w:pPr>
    <w:rPr>
      <w:sz w:val="16"/>
      <w:szCs w:val="16"/>
      <w:lang w:val="da-DK"/>
      <w14:cntxtAlts/>
    </w:rPr>
  </w:style>
  <w:style w:type="character" w:customStyle="1" w:styleId="FootnoteTextChar">
    <w:name w:val="Footnote Text Char"/>
    <w:aliases w:val="ECC Footnote Char"/>
    <w:basedOn w:val="DefaultParagraphFont"/>
    <w:link w:val="FootnoteText"/>
    <w:rsid w:val="001526A2"/>
    <w:rPr>
      <w:rFonts w:eastAsia="Calibri"/>
      <w:sz w:val="16"/>
      <w:szCs w:val="16"/>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styleId="FootnoteReference">
    <w:name w:val="footnote reference"/>
    <w:aliases w:val="ECC Footnote number"/>
    <w:basedOn w:val="DefaultParagraphFont"/>
    <w:rsid w:val="00DB17F9"/>
    <w:rPr>
      <w:rFonts w:ascii="Arial" w:hAnsi="Arial"/>
      <w:sz w:val="20"/>
      <w:vertAlign w:val="superscript"/>
    </w:rPr>
  </w:style>
  <w:style w:type="paragraph" w:styleId="Caption">
    <w:name w:val="caption"/>
    <w:aliases w:val="ECC Caption"/>
    <w:next w:val="Normal"/>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tabs>
        <w:tab w:val="num" w:pos="864"/>
      </w:tabs>
      <w:overflowPunct w:val="0"/>
      <w:autoSpaceDE w:val="0"/>
      <w:autoSpaceDN w:val="0"/>
      <w:adjustRightInd w:val="0"/>
      <w:spacing w:before="360"/>
      <w:ind w:left="864" w:hanging="864"/>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rsid w:val="00F51BD6"/>
    <w:pPr>
      <w:numPr>
        <w:ilvl w:val="1"/>
        <w:numId w:val="3"/>
      </w:numPr>
      <w:spacing w:after="0"/>
    </w:pPr>
  </w:style>
  <w:style w:type="paragraph" w:customStyle="1" w:styleId="ECCNumberedList">
    <w:name w:val="ECC Numbered List"/>
    <w:basedOn w:val="Normal"/>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ered">
    <w:name w:val="ECC Figure/graph centered"/>
    <w:next w:val="Normal"/>
    <w:rsid w:val="00283417"/>
    <w:pPr>
      <w:spacing w:after="240"/>
      <w:jc w:val="center"/>
    </w:pPr>
    <w:rPr>
      <w:noProof/>
      <w:lang w:val="de-DE" w:eastAsia="de-DE"/>
      <w14:cntxtAlts/>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Headerredfont">
    <w:name w:val="ECC Table Header red font"/>
    <w:qFormat/>
    <w:rsid w:val="0038287C"/>
    <w:pPr>
      <w:spacing w:before="120"/>
    </w:pPr>
    <w:rPr>
      <w:bCs/>
      <w:color w:val="D2232A"/>
      <w:lang w:val="en-GB"/>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basedOn w:val="Strong"/>
    <w:uiPriority w:val="1"/>
    <w:qFormat/>
    <w:rsid w:val="0038287C"/>
    <w:rPr>
      <w:b/>
      <w:bCs/>
    </w:rPr>
  </w:style>
  <w:style w:type="character" w:styleId="Strong">
    <w:name w:val="Strong"/>
    <w:basedOn w:val="DefaultParagraphFont"/>
    <w:semiHidden/>
    <w:qFormat/>
    <w:locked/>
    <w:rsid w:val="0038287C"/>
    <w:rPr>
      <w:b/>
      <w:bCs/>
    </w:rPr>
  </w:style>
  <w:style w:type="character" w:styleId="Emphasis">
    <w:name w:val="Emphasis"/>
    <w:aliases w:val="ECC HL italics"/>
    <w:basedOn w:val="DefaultParagraphFont"/>
    <w:uiPriority w:val="1"/>
    <w:qFormat/>
    <w:rsid w:val="00DB17F9"/>
    <w:rPr>
      <w:i/>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
    <w:basedOn w:val="DefaultParagraphFont"/>
    <w:uiPriority w:val="99"/>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table" w:customStyle="1" w:styleId="ECCTable-redheader">
    <w:name w:val="ECC Table - red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qFormat/>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StandardAN">
    <w:name w:val="Standard A:N"/>
    <w:basedOn w:val="Normal"/>
    <w:link w:val="StandardANZchn"/>
    <w:rsid w:val="00F51596"/>
    <w:pPr>
      <w:overflowPunct w:val="0"/>
      <w:autoSpaceDE w:val="0"/>
      <w:autoSpaceDN w:val="0"/>
      <w:adjustRightInd w:val="0"/>
      <w:spacing w:before="0" w:after="120"/>
      <w:jc w:val="left"/>
      <w:textAlignment w:val="baseline"/>
    </w:pPr>
    <w:rPr>
      <w:rFonts w:eastAsia="Times New Roman" w:cs="Arial"/>
      <w:sz w:val="22"/>
      <w:lang w:val="de-DE" w:eastAsia="de-DE"/>
    </w:rPr>
  </w:style>
  <w:style w:type="character" w:customStyle="1" w:styleId="StandardANZchn">
    <w:name w:val="Standard A:N Zchn"/>
    <w:basedOn w:val="DefaultParagraphFont"/>
    <w:link w:val="StandardAN"/>
    <w:rsid w:val="00F51596"/>
    <w:rPr>
      <w:rFonts w:cs="Arial"/>
      <w:sz w:val="22"/>
      <w:szCs w:val="22"/>
      <w:lang w:val="de-DE" w:eastAsia="de-DE"/>
    </w:rPr>
  </w:style>
  <w:style w:type="paragraph" w:styleId="Footer">
    <w:name w:val="footer"/>
    <w:basedOn w:val="Normal"/>
    <w:link w:val="FooterChar"/>
    <w:locked/>
    <w:rsid w:val="00F51596"/>
    <w:pPr>
      <w:tabs>
        <w:tab w:val="center" w:pos="4536"/>
        <w:tab w:val="right" w:pos="9072"/>
      </w:tabs>
      <w:overflowPunct w:val="0"/>
      <w:autoSpaceDE w:val="0"/>
      <w:autoSpaceDN w:val="0"/>
      <w:adjustRightInd w:val="0"/>
      <w:spacing w:before="0" w:after="0"/>
      <w:jc w:val="left"/>
      <w:textAlignment w:val="baseline"/>
    </w:pPr>
    <w:rPr>
      <w:rFonts w:eastAsia="Times New Roman" w:cs="Arial"/>
      <w:sz w:val="22"/>
      <w:lang w:val="de-DE" w:eastAsia="de-DE"/>
    </w:rPr>
  </w:style>
  <w:style w:type="character" w:customStyle="1" w:styleId="FooterChar">
    <w:name w:val="Footer Char"/>
    <w:basedOn w:val="DefaultParagraphFont"/>
    <w:link w:val="Footer"/>
    <w:rsid w:val="00F51596"/>
    <w:rPr>
      <w:rFonts w:cs="Arial"/>
      <w:sz w:val="22"/>
      <w:szCs w:val="22"/>
      <w:lang w:val="de-DE" w:eastAsia="de-DE"/>
    </w:rPr>
  </w:style>
  <w:style w:type="character" w:styleId="PageNumber">
    <w:name w:val="page number"/>
    <w:basedOn w:val="DefaultParagraphFont"/>
    <w:locked/>
    <w:rsid w:val="00F51596"/>
  </w:style>
  <w:style w:type="paragraph" w:customStyle="1" w:styleId="Tabelle">
    <w:name w:val="Tabelle"/>
    <w:basedOn w:val="Normal"/>
    <w:next w:val="StandardAN"/>
    <w:rsid w:val="00F51596"/>
    <w:pPr>
      <w:overflowPunct w:val="0"/>
      <w:autoSpaceDE w:val="0"/>
      <w:autoSpaceDN w:val="0"/>
      <w:adjustRightInd w:val="0"/>
      <w:spacing w:before="60"/>
      <w:jc w:val="left"/>
      <w:textAlignment w:val="baseline"/>
    </w:pPr>
    <w:rPr>
      <w:rFonts w:eastAsia="Times New Roman" w:cs="Arial"/>
      <w:szCs w:val="20"/>
      <w:lang w:val="de-DE" w:eastAsia="de-DE"/>
    </w:rPr>
  </w:style>
  <w:style w:type="paragraph" w:customStyle="1" w:styleId="Bildunterschrift">
    <w:name w:val="Bildunterschrift"/>
    <w:basedOn w:val="Normal"/>
    <w:next w:val="StandardAN"/>
    <w:rsid w:val="00F51596"/>
    <w:pPr>
      <w:overflowPunct w:val="0"/>
      <w:autoSpaceDE w:val="0"/>
      <w:autoSpaceDN w:val="0"/>
      <w:adjustRightInd w:val="0"/>
      <w:spacing w:before="0" w:after="240"/>
      <w:ind w:left="567" w:hanging="567"/>
      <w:jc w:val="left"/>
      <w:textAlignment w:val="baseline"/>
    </w:pPr>
    <w:rPr>
      <w:rFonts w:eastAsia="Times New Roman" w:cs="Arial"/>
      <w:sz w:val="16"/>
      <w:szCs w:val="16"/>
      <w:lang w:val="de-DE" w:eastAsia="de-DE"/>
    </w:rPr>
  </w:style>
  <w:style w:type="character" w:styleId="FollowedHyperlink">
    <w:name w:val="FollowedHyperlink"/>
    <w:basedOn w:val="DefaultParagraphFont"/>
    <w:uiPriority w:val="99"/>
    <w:semiHidden/>
    <w:unhideWhenUsed/>
    <w:locked/>
    <w:rsid w:val="00D44EF7"/>
    <w:rPr>
      <w:color w:val="800080" w:themeColor="followedHyperlink"/>
      <w:u w:val="single"/>
    </w:rPr>
  </w:style>
  <w:style w:type="paragraph" w:customStyle="1" w:styleId="Questionarie-instance">
    <w:name w:val="Questionarie-instance"/>
    <w:basedOn w:val="Normal"/>
    <w:rsid w:val="008139EE"/>
    <w:pPr>
      <w:pBdr>
        <w:top w:val="nil"/>
        <w:left w:val="nil"/>
        <w:bottom w:val="nil"/>
        <w:right w:val="nil"/>
      </w:pBdr>
      <w:spacing w:before="0" w:after="0"/>
      <w:jc w:val="left"/>
    </w:pPr>
    <w:rPr>
      <w:rFonts w:ascii="Times New Roman" w:eastAsia="Times New Roman" w:hAnsi="Times New Roman"/>
      <w:sz w:val="24"/>
      <w:szCs w:val="24"/>
      <w:bdr w:val="nil"/>
      <w:lang w:val="en-US"/>
    </w:rPr>
  </w:style>
  <w:style w:type="character" w:customStyle="1" w:styleId="Questionarie-instanceQuestion-text">
    <w:name w:val="Questionarie-instance_Question-text"/>
    <w:basedOn w:val="DefaultParagraphFont"/>
    <w:rsid w:val="008139EE"/>
    <w:rPr>
      <w:b/>
      <w:bCs/>
      <w:bdr w:val="nil"/>
    </w:rPr>
  </w:style>
  <w:style w:type="table" w:customStyle="1" w:styleId="Question-group-table">
    <w:name w:val="Question-group-table"/>
    <w:rsid w:val="008139EE"/>
    <w:pPr>
      <w:spacing w:before="0" w:after="0"/>
      <w:jc w:val="left"/>
    </w:pPr>
    <w:rPr>
      <w:rFonts w:ascii="Times New Roman" w:hAnsi="Times New Roman"/>
      <w:lang w:val="en-US"/>
    </w:rPr>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locked/>
    <w:rsid w:val="008139EE"/>
    <w:rPr>
      <w:sz w:val="16"/>
      <w:szCs w:val="16"/>
    </w:rPr>
  </w:style>
  <w:style w:type="paragraph" w:styleId="CommentText">
    <w:name w:val="annotation text"/>
    <w:basedOn w:val="Normal"/>
    <w:link w:val="CommentTextChar"/>
    <w:uiPriority w:val="99"/>
    <w:semiHidden/>
    <w:unhideWhenUsed/>
    <w:locked/>
    <w:rsid w:val="008139EE"/>
    <w:pPr>
      <w:spacing w:before="0" w:after="120"/>
    </w:pPr>
    <w:rPr>
      <w:rFonts w:eastAsia="Times New Roman"/>
      <w:szCs w:val="20"/>
      <w:lang w:val="nb-NO" w:eastAsia="de-DE"/>
    </w:rPr>
  </w:style>
  <w:style w:type="character" w:customStyle="1" w:styleId="CommentTextChar">
    <w:name w:val="Comment Text Char"/>
    <w:basedOn w:val="DefaultParagraphFont"/>
    <w:link w:val="CommentText"/>
    <w:uiPriority w:val="99"/>
    <w:semiHidden/>
    <w:rsid w:val="008139EE"/>
    <w:rPr>
      <w:lang w:val="nb-NO" w:eastAsia="de-DE"/>
    </w:rPr>
  </w:style>
  <w:style w:type="table" w:customStyle="1" w:styleId="Question-group-table1">
    <w:name w:val="Question-group-table1"/>
    <w:rsid w:val="008D3689"/>
    <w:pPr>
      <w:spacing w:before="0" w:after="0"/>
      <w:jc w:val="left"/>
    </w:pPr>
    <w:rPr>
      <w:rFonts w:ascii="Times New Roman" w:hAnsi="Times New Roman"/>
      <w:lang w:eastAsia="da-DK"/>
    </w:rPr>
    <w:tblPr>
      <w:tblCellMar>
        <w:top w:w="0" w:type="dxa"/>
        <w:left w:w="0" w:type="dxa"/>
        <w:bottom w:w="0" w:type="dxa"/>
        <w:right w:w="0" w:type="dxa"/>
      </w:tblCellMar>
    </w:tblPr>
  </w:style>
  <w:style w:type="table" w:customStyle="1" w:styleId="TableGrid1">
    <w:name w:val="Table Grid1"/>
    <w:basedOn w:val="TableNormal"/>
    <w:next w:val="TableGrid"/>
    <w:uiPriority w:val="59"/>
    <w:rsid w:val="008D3689"/>
    <w:pPr>
      <w:spacing w:before="0" w:after="0"/>
      <w:jc w:val="left"/>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area">
    <w:name w:val="Textarea"/>
    <w:basedOn w:val="DefaultParagraphFont"/>
    <w:rsid w:val="00BE40FD"/>
    <w:rPr>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5485">
      <w:bodyDiv w:val="1"/>
      <w:marLeft w:val="0"/>
      <w:marRight w:val="0"/>
      <w:marTop w:val="0"/>
      <w:marBottom w:val="0"/>
      <w:divBdr>
        <w:top w:val="none" w:sz="0" w:space="0" w:color="auto"/>
        <w:left w:val="none" w:sz="0" w:space="0" w:color="auto"/>
        <w:bottom w:val="none" w:sz="0" w:space="0" w:color="auto"/>
        <w:right w:val="none" w:sz="0" w:space="0" w:color="auto"/>
      </w:divBdr>
    </w:div>
    <w:div w:id="40716981">
      <w:bodyDiv w:val="1"/>
      <w:marLeft w:val="0"/>
      <w:marRight w:val="0"/>
      <w:marTop w:val="0"/>
      <w:marBottom w:val="0"/>
      <w:divBdr>
        <w:top w:val="none" w:sz="0" w:space="0" w:color="auto"/>
        <w:left w:val="none" w:sz="0" w:space="0" w:color="auto"/>
        <w:bottom w:val="none" w:sz="0" w:space="0" w:color="auto"/>
        <w:right w:val="none" w:sz="0" w:space="0" w:color="auto"/>
      </w:divBdr>
    </w:div>
    <w:div w:id="180434732">
      <w:bodyDiv w:val="1"/>
      <w:marLeft w:val="0"/>
      <w:marRight w:val="0"/>
      <w:marTop w:val="0"/>
      <w:marBottom w:val="0"/>
      <w:divBdr>
        <w:top w:val="none" w:sz="0" w:space="0" w:color="auto"/>
        <w:left w:val="none" w:sz="0" w:space="0" w:color="auto"/>
        <w:bottom w:val="none" w:sz="0" w:space="0" w:color="auto"/>
        <w:right w:val="none" w:sz="0" w:space="0" w:color="auto"/>
      </w:divBdr>
    </w:div>
    <w:div w:id="332340673">
      <w:bodyDiv w:val="1"/>
      <w:marLeft w:val="0"/>
      <w:marRight w:val="0"/>
      <w:marTop w:val="0"/>
      <w:marBottom w:val="0"/>
      <w:divBdr>
        <w:top w:val="none" w:sz="0" w:space="0" w:color="auto"/>
        <w:left w:val="none" w:sz="0" w:space="0" w:color="auto"/>
        <w:bottom w:val="none" w:sz="0" w:space="0" w:color="auto"/>
        <w:right w:val="none" w:sz="0" w:space="0" w:color="auto"/>
      </w:divBdr>
    </w:div>
    <w:div w:id="588273542">
      <w:bodyDiv w:val="1"/>
      <w:marLeft w:val="0"/>
      <w:marRight w:val="0"/>
      <w:marTop w:val="0"/>
      <w:marBottom w:val="0"/>
      <w:divBdr>
        <w:top w:val="none" w:sz="0" w:space="0" w:color="auto"/>
        <w:left w:val="none" w:sz="0" w:space="0" w:color="auto"/>
        <w:bottom w:val="none" w:sz="0" w:space="0" w:color="auto"/>
        <w:right w:val="none" w:sz="0" w:space="0" w:color="auto"/>
      </w:divBdr>
    </w:div>
    <w:div w:id="809132906">
      <w:bodyDiv w:val="1"/>
      <w:marLeft w:val="0"/>
      <w:marRight w:val="0"/>
      <w:marTop w:val="0"/>
      <w:marBottom w:val="0"/>
      <w:divBdr>
        <w:top w:val="none" w:sz="0" w:space="0" w:color="auto"/>
        <w:left w:val="none" w:sz="0" w:space="0" w:color="auto"/>
        <w:bottom w:val="none" w:sz="0" w:space="0" w:color="auto"/>
        <w:right w:val="none" w:sz="0" w:space="0" w:color="auto"/>
      </w:divBdr>
    </w:div>
    <w:div w:id="902329096">
      <w:bodyDiv w:val="1"/>
      <w:marLeft w:val="0"/>
      <w:marRight w:val="0"/>
      <w:marTop w:val="0"/>
      <w:marBottom w:val="0"/>
      <w:divBdr>
        <w:top w:val="none" w:sz="0" w:space="0" w:color="auto"/>
        <w:left w:val="none" w:sz="0" w:space="0" w:color="auto"/>
        <w:bottom w:val="none" w:sz="0" w:space="0" w:color="auto"/>
        <w:right w:val="none" w:sz="0" w:space="0" w:color="auto"/>
      </w:divBdr>
    </w:div>
    <w:div w:id="1033845743">
      <w:bodyDiv w:val="1"/>
      <w:marLeft w:val="0"/>
      <w:marRight w:val="0"/>
      <w:marTop w:val="0"/>
      <w:marBottom w:val="0"/>
      <w:divBdr>
        <w:top w:val="none" w:sz="0" w:space="0" w:color="auto"/>
        <w:left w:val="none" w:sz="0" w:space="0" w:color="auto"/>
        <w:bottom w:val="none" w:sz="0" w:space="0" w:color="auto"/>
        <w:right w:val="none" w:sz="0" w:space="0" w:color="auto"/>
      </w:divBdr>
    </w:div>
    <w:div w:id="1187868279">
      <w:bodyDiv w:val="1"/>
      <w:marLeft w:val="0"/>
      <w:marRight w:val="0"/>
      <w:marTop w:val="0"/>
      <w:marBottom w:val="0"/>
      <w:divBdr>
        <w:top w:val="none" w:sz="0" w:space="0" w:color="auto"/>
        <w:left w:val="none" w:sz="0" w:space="0" w:color="auto"/>
        <w:bottom w:val="none" w:sz="0" w:space="0" w:color="auto"/>
        <w:right w:val="none" w:sz="0" w:space="0" w:color="auto"/>
      </w:divBdr>
    </w:div>
    <w:div w:id="1307006094">
      <w:bodyDiv w:val="1"/>
      <w:marLeft w:val="0"/>
      <w:marRight w:val="0"/>
      <w:marTop w:val="0"/>
      <w:marBottom w:val="0"/>
      <w:divBdr>
        <w:top w:val="none" w:sz="0" w:space="0" w:color="auto"/>
        <w:left w:val="none" w:sz="0" w:space="0" w:color="auto"/>
        <w:bottom w:val="none" w:sz="0" w:space="0" w:color="auto"/>
        <w:right w:val="none" w:sz="0" w:space="0" w:color="auto"/>
      </w:divBdr>
    </w:div>
    <w:div w:id="1337270873">
      <w:bodyDiv w:val="1"/>
      <w:marLeft w:val="0"/>
      <w:marRight w:val="0"/>
      <w:marTop w:val="0"/>
      <w:marBottom w:val="0"/>
      <w:divBdr>
        <w:top w:val="none" w:sz="0" w:space="0" w:color="auto"/>
        <w:left w:val="none" w:sz="0" w:space="0" w:color="auto"/>
        <w:bottom w:val="none" w:sz="0" w:space="0" w:color="auto"/>
        <w:right w:val="none" w:sz="0" w:space="0" w:color="auto"/>
      </w:divBdr>
    </w:div>
    <w:div w:id="1495612130">
      <w:bodyDiv w:val="1"/>
      <w:marLeft w:val="0"/>
      <w:marRight w:val="0"/>
      <w:marTop w:val="0"/>
      <w:marBottom w:val="0"/>
      <w:divBdr>
        <w:top w:val="none" w:sz="0" w:space="0" w:color="auto"/>
        <w:left w:val="none" w:sz="0" w:space="0" w:color="auto"/>
        <w:bottom w:val="none" w:sz="0" w:space="0" w:color="auto"/>
        <w:right w:val="none" w:sz="0" w:space="0" w:color="auto"/>
      </w:divBdr>
    </w:div>
    <w:div w:id="1536842724">
      <w:bodyDiv w:val="1"/>
      <w:marLeft w:val="0"/>
      <w:marRight w:val="0"/>
      <w:marTop w:val="0"/>
      <w:marBottom w:val="0"/>
      <w:divBdr>
        <w:top w:val="none" w:sz="0" w:space="0" w:color="auto"/>
        <w:left w:val="none" w:sz="0" w:space="0" w:color="auto"/>
        <w:bottom w:val="none" w:sz="0" w:space="0" w:color="auto"/>
        <w:right w:val="none" w:sz="0" w:space="0" w:color="auto"/>
      </w:divBdr>
    </w:div>
    <w:div w:id="1572620413">
      <w:bodyDiv w:val="1"/>
      <w:marLeft w:val="0"/>
      <w:marRight w:val="0"/>
      <w:marTop w:val="0"/>
      <w:marBottom w:val="0"/>
      <w:divBdr>
        <w:top w:val="none" w:sz="0" w:space="0" w:color="auto"/>
        <w:left w:val="none" w:sz="0" w:space="0" w:color="auto"/>
        <w:bottom w:val="none" w:sz="0" w:space="0" w:color="auto"/>
        <w:right w:val="none" w:sz="0" w:space="0" w:color="auto"/>
      </w:divBdr>
    </w:div>
    <w:div w:id="1676417693">
      <w:bodyDiv w:val="1"/>
      <w:marLeft w:val="0"/>
      <w:marRight w:val="0"/>
      <w:marTop w:val="0"/>
      <w:marBottom w:val="0"/>
      <w:divBdr>
        <w:top w:val="none" w:sz="0" w:space="0" w:color="auto"/>
        <w:left w:val="none" w:sz="0" w:space="0" w:color="auto"/>
        <w:bottom w:val="none" w:sz="0" w:space="0" w:color="auto"/>
        <w:right w:val="none" w:sz="0" w:space="0" w:color="auto"/>
      </w:divBdr>
    </w:div>
    <w:div w:id="1870534330">
      <w:bodyDiv w:val="1"/>
      <w:marLeft w:val="0"/>
      <w:marRight w:val="0"/>
      <w:marTop w:val="0"/>
      <w:marBottom w:val="0"/>
      <w:divBdr>
        <w:top w:val="none" w:sz="0" w:space="0" w:color="auto"/>
        <w:left w:val="none" w:sz="0" w:space="0" w:color="auto"/>
        <w:bottom w:val="none" w:sz="0" w:space="0" w:color="auto"/>
        <w:right w:val="none" w:sz="0" w:space="0" w:color="auto"/>
      </w:divBdr>
    </w:div>
    <w:div w:id="2035424519">
      <w:bodyDiv w:val="1"/>
      <w:marLeft w:val="0"/>
      <w:marRight w:val="0"/>
      <w:marTop w:val="0"/>
      <w:marBottom w:val="0"/>
      <w:divBdr>
        <w:top w:val="none" w:sz="0" w:space="0" w:color="auto"/>
        <w:left w:val="none" w:sz="0" w:space="0" w:color="auto"/>
        <w:bottom w:val="none" w:sz="0" w:space="0" w:color="auto"/>
        <w:right w:val="none" w:sz="0" w:space="0" w:color="auto"/>
      </w:divBdr>
    </w:div>
    <w:div w:id="2104640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hyperlink" Target="http://static.ofcom.org.uk/static/spectrum/wireless-telegraphy-register/WTR-Register-Report-12012018.xlsx" TargetMode="External"/><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ofcom.org.uk/research-and-data/data/opendata" TargetMode="External"/><Relationship Id="rId23" Type="http://schemas.openxmlformats.org/officeDocument/2006/relationships/image" Target="media/image10.png"/><Relationship Id="rId28" Type="http://schemas.openxmlformats.org/officeDocument/2006/relationships/hyperlink" Target="https://www.ofcom.org.uk/__data/assets/pdf_file/0017/92204/ofw446.pdf" TargetMode="External"/><Relationship Id="rId36" Type="http://schemas.openxmlformats.org/officeDocument/2006/relationships/image" Target="media/image21.png"/><Relationship Id="rId10" Type="http://schemas.openxmlformats.org/officeDocument/2006/relationships/hyperlink" Target="https://cept.org/files/9522/Draft%20revision%20of%20ECC%20Report%20173.docx" TargetMode="External"/><Relationship Id="rId19" Type="http://schemas.openxmlformats.org/officeDocument/2006/relationships/image" Target="media/image6.png"/><Relationship Id="rId31" Type="http://schemas.openxmlformats.org/officeDocument/2006/relationships/image" Target="media/image16.png"/><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yperlink" Target="https://www.ofcom.org.uk/__data/assets/pdf_file/0016/92203/ofw48.pdf" TargetMode="External"/><Relationship Id="rId30" Type="http://schemas.openxmlformats.org/officeDocument/2006/relationships/image" Target="media/image15.png"/><Relationship Id="rId35"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81F34-16D3-4E88-9AB7-01F5B2C87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CPG19.dotx</Template>
  <TotalTime>107</TotalTime>
  <Pages>25</Pages>
  <Words>4309</Words>
  <Characters>24564</Characters>
  <Application>Microsoft Office Word</Application>
  <DocSecurity>0</DocSecurity>
  <Lines>204</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Input WGFM#91, 05/2018</vt:lpstr>
      <vt:lpstr>XXX(YY)XX - Source - Content</vt:lpstr>
    </vt:vector>
  </TitlesOfParts>
  <Manager>ECC</Manager>
  <Company>ECO</Company>
  <LinksUpToDate>false</LinksUpToDate>
  <CharactersWithSpaces>28816</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Input WGFM#91, 05/2018</dc:title>
  <dc:creator>ECO Thomas and Doriana</dc:creator>
  <dc:description>This template is used as guidance to draft generic contributions to ECC groups</dc:description>
  <cp:lastModifiedBy>CEPT Coordinator</cp:lastModifiedBy>
  <cp:revision>5</cp:revision>
  <cp:lastPrinted>2018-04-17T10:15:00Z</cp:lastPrinted>
  <dcterms:created xsi:type="dcterms:W3CDTF">2018-05-23T15:51:00Z</dcterms:created>
  <dcterms:modified xsi:type="dcterms:W3CDTF">2018-06-01T11:46:00Z</dcterms:modified>
  <cp:category>protected templates</cp:category>
  <cp:contentStatus>Responses to questionnaire</cp:contentStatus>
</cp:coreProperties>
</file>